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04FA1">
      <w:pPr>
        <w:pStyle w:val="4"/>
        <w:pageBreakBefore w:val="0"/>
        <w:widowControl w:val="0"/>
        <w:kinsoku/>
        <w:overflowPunct/>
        <w:topLinePunct w:val="0"/>
        <w:autoSpaceDE/>
        <w:autoSpaceDN/>
        <w:bidi w:val="0"/>
        <w:spacing w:before="0" w:after="0" w:line="360" w:lineRule="auto"/>
        <w:ind w:firstLine="3253" w:firstLineChars="900"/>
        <w:textAlignment w:val="auto"/>
        <w:rPr>
          <w:rFonts w:hint="eastAsia" w:ascii="Times New Roman" w:hAnsi="Times New Roman" w:eastAsia="宋体"/>
          <w:sz w:val="36"/>
          <w:szCs w:val="36"/>
        </w:rPr>
      </w:pPr>
    </w:p>
    <w:p w14:paraId="7561707C">
      <w:pPr>
        <w:pStyle w:val="4"/>
        <w:pageBreakBefore w:val="0"/>
        <w:widowControl w:val="0"/>
        <w:kinsoku/>
        <w:overflowPunct/>
        <w:topLinePunct w:val="0"/>
        <w:autoSpaceDE/>
        <w:autoSpaceDN/>
        <w:bidi w:val="0"/>
        <w:spacing w:before="0" w:after="0" w:line="360" w:lineRule="auto"/>
        <w:ind w:firstLine="3253" w:firstLineChars="900"/>
        <w:textAlignment w:val="auto"/>
        <w:rPr>
          <w:rFonts w:hint="eastAsia" w:ascii="Times New Roman" w:hAnsi="Times New Roman" w:eastAsia="宋体"/>
          <w:sz w:val="36"/>
          <w:szCs w:val="36"/>
        </w:rPr>
      </w:pPr>
    </w:p>
    <w:p w14:paraId="18640E31">
      <w:pPr>
        <w:pStyle w:val="4"/>
        <w:pageBreakBefore w:val="0"/>
        <w:widowControl w:val="0"/>
        <w:kinsoku/>
        <w:overflowPunct/>
        <w:topLinePunct w:val="0"/>
        <w:autoSpaceDE/>
        <w:autoSpaceDN/>
        <w:bidi w:val="0"/>
        <w:spacing w:before="0" w:after="0" w:line="360" w:lineRule="auto"/>
        <w:textAlignment w:val="auto"/>
        <w:rPr>
          <w:rFonts w:hint="eastAsia" w:ascii="Times New Roman" w:hAnsi="Times New Roman" w:eastAsia="宋体"/>
          <w:sz w:val="36"/>
          <w:szCs w:val="36"/>
        </w:rPr>
      </w:pPr>
    </w:p>
    <w:p w14:paraId="5E66E6CF">
      <w:pPr>
        <w:pStyle w:val="4"/>
        <w:pageBreakBefore w:val="0"/>
        <w:widowControl w:val="0"/>
        <w:kinsoku/>
        <w:overflowPunct/>
        <w:topLinePunct w:val="0"/>
        <w:autoSpaceDE/>
        <w:autoSpaceDN/>
        <w:bidi w:val="0"/>
        <w:spacing w:before="0" w:after="0" w:line="360" w:lineRule="auto"/>
        <w:jc w:val="center"/>
        <w:textAlignment w:val="auto"/>
        <w:rPr>
          <w:rFonts w:hint="default" w:ascii="Times New Roman" w:hAnsi="Times New Roman" w:eastAsia="宋体"/>
          <w:sz w:val="36"/>
          <w:szCs w:val="36"/>
          <w:lang w:val="en-US" w:eastAsia="zh-CN"/>
        </w:rPr>
      </w:pPr>
      <w:r>
        <w:rPr>
          <w:rFonts w:hint="eastAsia" w:ascii="Times New Roman" w:hAnsi="Times New Roman" w:eastAsia="宋体"/>
          <w:sz w:val="36"/>
          <w:szCs w:val="36"/>
          <w:lang w:val="en-US" w:eastAsia="zh-CN"/>
        </w:rPr>
        <w:t>北京市第二医院伦理审查委员会</w:t>
      </w:r>
    </w:p>
    <w:p w14:paraId="6D40F388">
      <w:pPr>
        <w:pageBreakBefore w:val="0"/>
        <w:widowControl w:val="0"/>
        <w:kinsoku/>
        <w:overflowPunct/>
        <w:topLinePunct w:val="0"/>
        <w:autoSpaceDE/>
        <w:autoSpaceDN/>
        <w:bidi w:val="0"/>
        <w:spacing w:line="360" w:lineRule="auto"/>
        <w:jc w:val="center"/>
        <w:textAlignment w:val="auto"/>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章程</w:t>
      </w:r>
    </w:p>
    <w:p w14:paraId="1D3B6058">
      <w:pPr>
        <w:pageBreakBefore w:val="0"/>
        <w:widowControl w:val="0"/>
        <w:kinsoku/>
        <w:overflowPunct/>
        <w:topLinePunct w:val="0"/>
        <w:autoSpaceDE/>
        <w:autoSpaceDN/>
        <w:bidi w:val="0"/>
        <w:spacing w:line="360" w:lineRule="auto"/>
        <w:textAlignment w:val="auto"/>
        <w:rPr>
          <w:rFonts w:hint="eastAsia"/>
          <w:sz w:val="36"/>
          <w:szCs w:val="36"/>
        </w:rPr>
      </w:pPr>
    </w:p>
    <w:p w14:paraId="4F7F8091">
      <w:pPr>
        <w:pageBreakBefore w:val="0"/>
        <w:widowControl w:val="0"/>
        <w:kinsoku/>
        <w:overflowPunct/>
        <w:topLinePunct w:val="0"/>
        <w:autoSpaceDE/>
        <w:autoSpaceDN/>
        <w:bidi w:val="0"/>
        <w:spacing w:line="360" w:lineRule="auto"/>
        <w:textAlignment w:val="auto"/>
        <w:rPr>
          <w:rFonts w:hint="eastAsia"/>
          <w:sz w:val="36"/>
          <w:szCs w:val="36"/>
        </w:rPr>
      </w:pPr>
    </w:p>
    <w:p w14:paraId="665B787F">
      <w:pPr>
        <w:pageBreakBefore w:val="0"/>
        <w:widowControl w:val="0"/>
        <w:kinsoku/>
        <w:overflowPunct/>
        <w:topLinePunct w:val="0"/>
        <w:autoSpaceDE/>
        <w:autoSpaceDN/>
        <w:bidi w:val="0"/>
        <w:spacing w:line="360" w:lineRule="auto"/>
        <w:textAlignment w:val="auto"/>
        <w:rPr>
          <w:rFonts w:hint="eastAsia"/>
          <w:sz w:val="36"/>
          <w:szCs w:val="36"/>
        </w:rPr>
      </w:pPr>
    </w:p>
    <w:p w14:paraId="4ED8DF93">
      <w:pPr>
        <w:pageBreakBefore w:val="0"/>
        <w:widowControl w:val="0"/>
        <w:kinsoku/>
        <w:overflowPunct/>
        <w:topLinePunct w:val="0"/>
        <w:autoSpaceDE/>
        <w:autoSpaceDN/>
        <w:bidi w:val="0"/>
        <w:spacing w:line="360" w:lineRule="auto"/>
        <w:textAlignment w:val="auto"/>
        <w:rPr>
          <w:rFonts w:hint="eastAsia"/>
          <w:sz w:val="36"/>
          <w:szCs w:val="36"/>
        </w:rPr>
      </w:pPr>
    </w:p>
    <w:tbl>
      <w:tblPr>
        <w:tblStyle w:val="13"/>
        <w:tblpPr w:leftFromText="180" w:rightFromText="180" w:vertAnchor="text" w:horzAnchor="page" w:tblpX="2730" w:tblpY="517"/>
        <w:tblOverlap w:val="never"/>
        <w:tblW w:w="70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1"/>
        <w:gridCol w:w="2883"/>
      </w:tblGrid>
      <w:tr w14:paraId="6DBDB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91" w:type="dxa"/>
            <w:vAlign w:val="center"/>
          </w:tcPr>
          <w:p w14:paraId="7A282CD0">
            <w:pPr>
              <w:pageBreakBefore w:val="0"/>
              <w:widowControl w:val="0"/>
              <w:kinsoku/>
              <w:overflowPunct/>
              <w:topLinePunct w:val="0"/>
              <w:autoSpaceDE/>
              <w:autoSpaceDN/>
              <w:bidi w:val="0"/>
              <w:spacing w:line="360" w:lineRule="auto"/>
              <w:ind w:right="-512" w:rightChars="-244"/>
              <w:jc w:val="left"/>
              <w:textAlignment w:val="auto"/>
              <w:rPr>
                <w:sz w:val="24"/>
                <w:szCs w:val="21"/>
              </w:rPr>
            </w:pPr>
            <w:r>
              <w:rPr>
                <w:sz w:val="24"/>
                <w:szCs w:val="21"/>
              </w:rPr>
              <w:t>文件编码：</w:t>
            </w:r>
            <w:r>
              <w:rPr>
                <w:rFonts w:hint="eastAsia"/>
                <w:lang w:val="en-US" w:eastAsia="zh-CN"/>
              </w:rPr>
              <w:t xml:space="preserve"> </w:t>
            </w:r>
            <w:r>
              <w:rPr>
                <w:rFonts w:hint="eastAsia"/>
                <w:sz w:val="24"/>
                <w:szCs w:val="24"/>
                <w:lang w:val="en-US" w:eastAsia="zh-CN"/>
              </w:rPr>
              <w:t>IRB ZD/01.01/01.0</w:t>
            </w:r>
          </w:p>
        </w:tc>
        <w:tc>
          <w:tcPr>
            <w:tcW w:w="2883" w:type="dxa"/>
            <w:vAlign w:val="center"/>
          </w:tcPr>
          <w:p w14:paraId="396DA059">
            <w:pPr>
              <w:pageBreakBefore w:val="0"/>
              <w:widowControl w:val="0"/>
              <w:kinsoku/>
              <w:overflowPunct/>
              <w:topLinePunct w:val="0"/>
              <w:autoSpaceDE/>
              <w:autoSpaceDN/>
              <w:bidi w:val="0"/>
              <w:spacing w:line="360" w:lineRule="auto"/>
              <w:ind w:right="-512" w:rightChars="-244"/>
              <w:jc w:val="left"/>
              <w:textAlignment w:val="auto"/>
              <w:rPr>
                <w:sz w:val="24"/>
                <w:szCs w:val="21"/>
              </w:rPr>
            </w:pPr>
            <w:r>
              <w:rPr>
                <w:sz w:val="24"/>
                <w:szCs w:val="21"/>
              </w:rPr>
              <w:t>版 本 号：1.0</w:t>
            </w:r>
          </w:p>
        </w:tc>
      </w:tr>
      <w:tr w14:paraId="7F79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91" w:type="dxa"/>
            <w:vAlign w:val="center"/>
          </w:tcPr>
          <w:p w14:paraId="426D3DC6">
            <w:pPr>
              <w:pageBreakBefore w:val="0"/>
              <w:widowControl w:val="0"/>
              <w:kinsoku/>
              <w:overflowPunct/>
              <w:topLinePunct w:val="0"/>
              <w:autoSpaceDE/>
              <w:autoSpaceDN/>
              <w:bidi w:val="0"/>
              <w:spacing w:line="360" w:lineRule="auto"/>
              <w:ind w:right="-512" w:rightChars="-244"/>
              <w:textAlignment w:val="auto"/>
              <w:rPr>
                <w:sz w:val="24"/>
              </w:rPr>
            </w:pPr>
            <w:r>
              <w:rPr>
                <w:sz w:val="24"/>
              </w:rPr>
              <w:t>拟 定 人：</w:t>
            </w:r>
          </w:p>
        </w:tc>
        <w:tc>
          <w:tcPr>
            <w:tcW w:w="2883" w:type="dxa"/>
            <w:vAlign w:val="center"/>
          </w:tcPr>
          <w:p w14:paraId="1FC399F0">
            <w:pPr>
              <w:pageBreakBefore w:val="0"/>
              <w:widowControl w:val="0"/>
              <w:kinsoku/>
              <w:overflowPunct/>
              <w:topLinePunct w:val="0"/>
              <w:autoSpaceDE/>
              <w:autoSpaceDN/>
              <w:bidi w:val="0"/>
              <w:spacing w:line="360" w:lineRule="auto"/>
              <w:ind w:right="-512" w:rightChars="-244"/>
              <w:textAlignment w:val="auto"/>
              <w:rPr>
                <w:sz w:val="24"/>
              </w:rPr>
            </w:pPr>
            <w:r>
              <w:rPr>
                <w:sz w:val="24"/>
              </w:rPr>
              <w:t>拟定时间：</w:t>
            </w:r>
          </w:p>
        </w:tc>
      </w:tr>
      <w:tr w14:paraId="1CF0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91" w:type="dxa"/>
            <w:vAlign w:val="center"/>
          </w:tcPr>
          <w:p w14:paraId="2F79FED1">
            <w:pPr>
              <w:pageBreakBefore w:val="0"/>
              <w:widowControl w:val="0"/>
              <w:kinsoku/>
              <w:overflowPunct/>
              <w:topLinePunct w:val="0"/>
              <w:autoSpaceDE/>
              <w:autoSpaceDN/>
              <w:bidi w:val="0"/>
              <w:spacing w:line="360" w:lineRule="auto"/>
              <w:ind w:right="-512" w:rightChars="-244"/>
              <w:textAlignment w:val="auto"/>
              <w:rPr>
                <w:sz w:val="24"/>
              </w:rPr>
            </w:pPr>
            <w:r>
              <w:rPr>
                <w:sz w:val="24"/>
              </w:rPr>
              <w:t>审 核 人：</w:t>
            </w:r>
          </w:p>
        </w:tc>
        <w:tc>
          <w:tcPr>
            <w:tcW w:w="2883" w:type="dxa"/>
            <w:vAlign w:val="center"/>
          </w:tcPr>
          <w:p w14:paraId="67F3EB0B">
            <w:pPr>
              <w:pageBreakBefore w:val="0"/>
              <w:widowControl w:val="0"/>
              <w:kinsoku/>
              <w:overflowPunct/>
              <w:topLinePunct w:val="0"/>
              <w:autoSpaceDE/>
              <w:autoSpaceDN/>
              <w:bidi w:val="0"/>
              <w:spacing w:line="360" w:lineRule="auto"/>
              <w:ind w:right="-512" w:rightChars="-244"/>
              <w:textAlignment w:val="auto"/>
              <w:rPr>
                <w:sz w:val="24"/>
              </w:rPr>
            </w:pPr>
            <w:r>
              <w:rPr>
                <w:sz w:val="24"/>
              </w:rPr>
              <w:t>审核时间：</w:t>
            </w:r>
          </w:p>
        </w:tc>
      </w:tr>
      <w:tr w14:paraId="6050F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91" w:type="dxa"/>
            <w:vAlign w:val="center"/>
          </w:tcPr>
          <w:p w14:paraId="5C3B0781">
            <w:pPr>
              <w:pageBreakBefore w:val="0"/>
              <w:widowControl w:val="0"/>
              <w:kinsoku/>
              <w:overflowPunct/>
              <w:topLinePunct w:val="0"/>
              <w:autoSpaceDE/>
              <w:autoSpaceDN/>
              <w:bidi w:val="0"/>
              <w:spacing w:line="360" w:lineRule="auto"/>
              <w:ind w:right="-512" w:rightChars="-244"/>
              <w:textAlignment w:val="auto"/>
              <w:rPr>
                <w:sz w:val="24"/>
              </w:rPr>
            </w:pPr>
            <w:r>
              <w:rPr>
                <w:sz w:val="24"/>
              </w:rPr>
              <w:t>批 准 人：</w:t>
            </w:r>
          </w:p>
        </w:tc>
        <w:tc>
          <w:tcPr>
            <w:tcW w:w="2883" w:type="dxa"/>
            <w:vAlign w:val="center"/>
          </w:tcPr>
          <w:p w14:paraId="0F8F7A2A">
            <w:pPr>
              <w:pageBreakBefore w:val="0"/>
              <w:widowControl w:val="0"/>
              <w:kinsoku/>
              <w:overflowPunct/>
              <w:topLinePunct w:val="0"/>
              <w:autoSpaceDE/>
              <w:autoSpaceDN/>
              <w:bidi w:val="0"/>
              <w:spacing w:line="360" w:lineRule="auto"/>
              <w:ind w:right="-512" w:rightChars="-244"/>
              <w:textAlignment w:val="auto"/>
              <w:rPr>
                <w:sz w:val="24"/>
              </w:rPr>
            </w:pPr>
            <w:r>
              <w:rPr>
                <w:sz w:val="24"/>
              </w:rPr>
              <w:t>批准时间：</w:t>
            </w:r>
          </w:p>
        </w:tc>
      </w:tr>
      <w:tr w14:paraId="6E066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91" w:type="dxa"/>
            <w:vAlign w:val="center"/>
          </w:tcPr>
          <w:p w14:paraId="1B358C8E">
            <w:pPr>
              <w:pageBreakBefore w:val="0"/>
              <w:widowControl w:val="0"/>
              <w:kinsoku/>
              <w:overflowPunct/>
              <w:topLinePunct w:val="0"/>
              <w:autoSpaceDE/>
              <w:autoSpaceDN/>
              <w:bidi w:val="0"/>
              <w:spacing w:line="360" w:lineRule="auto"/>
              <w:ind w:right="-512" w:rightChars="-244"/>
              <w:textAlignment w:val="auto"/>
              <w:rPr>
                <w:sz w:val="24"/>
              </w:rPr>
            </w:pPr>
            <w:r>
              <w:rPr>
                <w:sz w:val="24"/>
              </w:rPr>
              <w:t>公布时间：</w:t>
            </w:r>
          </w:p>
        </w:tc>
        <w:tc>
          <w:tcPr>
            <w:tcW w:w="2883" w:type="dxa"/>
            <w:vAlign w:val="center"/>
          </w:tcPr>
          <w:p w14:paraId="51094086">
            <w:pPr>
              <w:pageBreakBefore w:val="0"/>
              <w:widowControl w:val="0"/>
              <w:kinsoku/>
              <w:overflowPunct/>
              <w:topLinePunct w:val="0"/>
              <w:autoSpaceDE/>
              <w:autoSpaceDN/>
              <w:bidi w:val="0"/>
              <w:spacing w:line="360" w:lineRule="auto"/>
              <w:ind w:right="-512" w:rightChars="-244"/>
              <w:textAlignment w:val="auto"/>
              <w:rPr>
                <w:sz w:val="24"/>
              </w:rPr>
            </w:pPr>
            <w:r>
              <w:rPr>
                <w:sz w:val="24"/>
              </w:rPr>
              <w:t>生效时间：</w:t>
            </w:r>
          </w:p>
        </w:tc>
      </w:tr>
    </w:tbl>
    <w:p w14:paraId="13840F99">
      <w:pPr>
        <w:pageBreakBefore w:val="0"/>
        <w:widowControl w:val="0"/>
        <w:kinsoku/>
        <w:overflowPunct/>
        <w:topLinePunct w:val="0"/>
        <w:autoSpaceDE/>
        <w:autoSpaceDN/>
        <w:bidi w:val="0"/>
        <w:spacing w:line="360" w:lineRule="auto"/>
        <w:textAlignment w:val="auto"/>
        <w:rPr>
          <w:rFonts w:hint="eastAsia"/>
          <w:sz w:val="36"/>
          <w:szCs w:val="36"/>
        </w:rPr>
      </w:pPr>
    </w:p>
    <w:p w14:paraId="5D8E3CA1">
      <w:pPr>
        <w:pageBreakBefore w:val="0"/>
        <w:widowControl w:val="0"/>
        <w:kinsoku/>
        <w:overflowPunct/>
        <w:topLinePunct w:val="0"/>
        <w:autoSpaceDE/>
        <w:autoSpaceDN/>
        <w:bidi w:val="0"/>
        <w:spacing w:line="360" w:lineRule="auto"/>
        <w:textAlignment w:val="auto"/>
        <w:rPr>
          <w:rFonts w:hint="eastAsia"/>
          <w:sz w:val="36"/>
          <w:szCs w:val="36"/>
        </w:rPr>
      </w:pPr>
    </w:p>
    <w:p w14:paraId="6713F405">
      <w:pPr>
        <w:pageBreakBefore w:val="0"/>
        <w:widowControl w:val="0"/>
        <w:kinsoku/>
        <w:overflowPunct/>
        <w:topLinePunct w:val="0"/>
        <w:autoSpaceDE/>
        <w:autoSpaceDN/>
        <w:bidi w:val="0"/>
        <w:spacing w:line="360" w:lineRule="auto"/>
        <w:textAlignment w:val="auto"/>
        <w:rPr>
          <w:sz w:val="24"/>
        </w:rPr>
      </w:pPr>
    </w:p>
    <w:p w14:paraId="1AD530CE">
      <w:pPr>
        <w:pageBreakBefore w:val="0"/>
        <w:widowControl w:val="0"/>
        <w:kinsoku/>
        <w:overflowPunct/>
        <w:topLinePunct w:val="0"/>
        <w:autoSpaceDE/>
        <w:autoSpaceDN/>
        <w:bidi w:val="0"/>
        <w:spacing w:line="360" w:lineRule="auto"/>
        <w:ind w:left="-359" w:leftChars="-171" w:right="-512" w:rightChars="-244"/>
        <w:jc w:val="center"/>
        <w:textAlignment w:val="auto"/>
        <w:rPr>
          <w:sz w:val="24"/>
        </w:rPr>
      </w:pPr>
    </w:p>
    <w:p w14:paraId="69E5D030">
      <w:pPr>
        <w:pageBreakBefore w:val="0"/>
        <w:widowControl w:val="0"/>
        <w:kinsoku/>
        <w:overflowPunct/>
        <w:topLinePunct w:val="0"/>
        <w:autoSpaceDE/>
        <w:autoSpaceDN/>
        <w:bidi w:val="0"/>
        <w:spacing w:line="360" w:lineRule="auto"/>
        <w:ind w:left="-359" w:leftChars="-171" w:right="-512" w:rightChars="-244"/>
        <w:jc w:val="center"/>
        <w:textAlignment w:val="auto"/>
        <w:rPr>
          <w:sz w:val="24"/>
        </w:rPr>
      </w:pPr>
    </w:p>
    <w:p w14:paraId="295A7928">
      <w:pPr>
        <w:pageBreakBefore w:val="0"/>
        <w:widowControl w:val="0"/>
        <w:kinsoku/>
        <w:overflowPunct/>
        <w:topLinePunct w:val="0"/>
        <w:autoSpaceDE/>
        <w:autoSpaceDN/>
        <w:bidi w:val="0"/>
        <w:spacing w:line="360" w:lineRule="auto"/>
        <w:ind w:left="-359" w:leftChars="-171" w:right="-512" w:rightChars="-244"/>
        <w:jc w:val="center"/>
        <w:textAlignment w:val="auto"/>
        <w:rPr>
          <w:sz w:val="24"/>
        </w:rPr>
      </w:pPr>
    </w:p>
    <w:p w14:paraId="0B987274">
      <w:pPr>
        <w:pageBreakBefore w:val="0"/>
        <w:widowControl w:val="0"/>
        <w:kinsoku/>
        <w:overflowPunct/>
        <w:topLinePunct w:val="0"/>
        <w:autoSpaceDE/>
        <w:autoSpaceDN/>
        <w:bidi w:val="0"/>
        <w:spacing w:line="360" w:lineRule="auto"/>
        <w:ind w:left="-359" w:leftChars="-171" w:right="-512" w:rightChars="-244"/>
        <w:jc w:val="center"/>
        <w:textAlignment w:val="auto"/>
        <w:rPr>
          <w:sz w:val="24"/>
        </w:rPr>
      </w:pPr>
    </w:p>
    <w:p w14:paraId="2B1CBAA8">
      <w:pPr>
        <w:pageBreakBefore w:val="0"/>
        <w:widowControl w:val="0"/>
        <w:kinsoku/>
        <w:overflowPunct/>
        <w:topLinePunct w:val="0"/>
        <w:autoSpaceDE/>
        <w:autoSpaceDN/>
        <w:bidi w:val="0"/>
        <w:spacing w:line="360" w:lineRule="auto"/>
        <w:ind w:left="-359" w:leftChars="-171" w:right="-512" w:rightChars="-244"/>
        <w:jc w:val="center"/>
        <w:textAlignment w:val="auto"/>
        <w:rPr>
          <w:sz w:val="24"/>
        </w:rPr>
      </w:pPr>
    </w:p>
    <w:p w14:paraId="454B1A5E">
      <w:pPr>
        <w:pageBreakBefore w:val="0"/>
        <w:widowControl w:val="0"/>
        <w:kinsoku/>
        <w:overflowPunct/>
        <w:topLinePunct w:val="0"/>
        <w:autoSpaceDE/>
        <w:autoSpaceDN/>
        <w:bidi w:val="0"/>
        <w:spacing w:line="360" w:lineRule="auto"/>
        <w:ind w:left="-359" w:leftChars="-171" w:right="-512" w:rightChars="-244"/>
        <w:jc w:val="center"/>
        <w:textAlignment w:val="auto"/>
        <w:rPr>
          <w:rFonts w:hint="eastAsia" w:ascii="宋体" w:hAnsi="宋体"/>
          <w:sz w:val="24"/>
        </w:rPr>
      </w:pPr>
    </w:p>
    <w:p w14:paraId="068E978B">
      <w:pPr>
        <w:pageBreakBefore w:val="0"/>
        <w:widowControl w:val="0"/>
        <w:kinsoku/>
        <w:overflowPunct/>
        <w:topLinePunct w:val="0"/>
        <w:autoSpaceDE/>
        <w:autoSpaceDN/>
        <w:bidi w:val="0"/>
        <w:spacing w:line="360" w:lineRule="auto"/>
        <w:ind w:left="-359" w:leftChars="-171" w:right="-512" w:rightChars="-244"/>
        <w:jc w:val="center"/>
        <w:textAlignment w:val="auto"/>
        <w:rPr>
          <w:rFonts w:hint="eastAsia" w:ascii="宋体" w:hAnsi="宋体"/>
          <w:sz w:val="24"/>
        </w:rPr>
      </w:pPr>
    </w:p>
    <w:p w14:paraId="40A76028">
      <w:pPr>
        <w:pageBreakBefore w:val="0"/>
        <w:widowControl w:val="0"/>
        <w:kinsoku/>
        <w:overflowPunct/>
        <w:topLinePunct w:val="0"/>
        <w:autoSpaceDE/>
        <w:autoSpaceDN/>
        <w:bidi w:val="0"/>
        <w:spacing w:line="360" w:lineRule="auto"/>
        <w:ind w:left="-359" w:leftChars="-171" w:right="-512" w:rightChars="-244"/>
        <w:jc w:val="center"/>
        <w:textAlignment w:val="auto"/>
        <w:rPr>
          <w:rFonts w:hint="eastAsia" w:ascii="宋体" w:hAnsi="宋体"/>
          <w:sz w:val="24"/>
        </w:rPr>
      </w:pPr>
    </w:p>
    <w:p w14:paraId="200DB5FC">
      <w:pPr>
        <w:pageBreakBefore w:val="0"/>
        <w:widowControl w:val="0"/>
        <w:kinsoku/>
        <w:overflowPunct/>
        <w:topLinePunct w:val="0"/>
        <w:autoSpaceDE/>
        <w:autoSpaceDN/>
        <w:bidi w:val="0"/>
        <w:spacing w:line="360" w:lineRule="auto"/>
        <w:ind w:left="-359" w:leftChars="-171" w:right="-512" w:rightChars="-244"/>
        <w:jc w:val="center"/>
        <w:textAlignment w:val="auto"/>
        <w:rPr>
          <w:rFonts w:hint="eastAsia" w:ascii="宋体" w:hAnsi="宋体"/>
          <w:sz w:val="24"/>
        </w:rPr>
      </w:pPr>
    </w:p>
    <w:p w14:paraId="7D7EB08E">
      <w:pPr>
        <w:pageBreakBefore w:val="0"/>
        <w:widowControl w:val="0"/>
        <w:kinsoku/>
        <w:overflowPunct/>
        <w:topLinePunct w:val="0"/>
        <w:autoSpaceDE/>
        <w:autoSpaceDN/>
        <w:bidi w:val="0"/>
        <w:spacing w:line="360" w:lineRule="auto"/>
        <w:ind w:left="-359" w:leftChars="-171" w:right="-512" w:rightChars="-244"/>
        <w:jc w:val="center"/>
        <w:textAlignment w:val="auto"/>
        <w:rPr>
          <w:rFonts w:hint="eastAsia" w:ascii="宋体" w:hAnsi="宋体"/>
          <w:sz w:val="24"/>
        </w:rPr>
      </w:pPr>
    </w:p>
    <w:p w14:paraId="6631AA71">
      <w:pPr>
        <w:pageBreakBefore w:val="0"/>
        <w:widowControl w:val="0"/>
        <w:kinsoku/>
        <w:overflowPunct/>
        <w:topLinePunct w:val="0"/>
        <w:autoSpaceDE/>
        <w:autoSpaceDN/>
        <w:bidi w:val="0"/>
        <w:spacing w:line="360" w:lineRule="auto"/>
        <w:ind w:left="-359" w:leftChars="-171" w:right="-512" w:rightChars="-244"/>
        <w:jc w:val="center"/>
        <w:textAlignment w:val="auto"/>
        <w:rPr>
          <w:rFonts w:hint="eastAsia" w:ascii="宋体" w:hAnsi="宋体"/>
          <w:sz w:val="24"/>
        </w:rPr>
      </w:pPr>
    </w:p>
    <w:p w14:paraId="7A9BD7E1">
      <w:pPr>
        <w:pageBreakBefore w:val="0"/>
        <w:widowControl w:val="0"/>
        <w:kinsoku/>
        <w:overflowPunct/>
        <w:topLinePunct w:val="0"/>
        <w:autoSpaceDE/>
        <w:autoSpaceDN/>
        <w:bidi w:val="0"/>
        <w:spacing w:line="360" w:lineRule="auto"/>
        <w:ind w:left="-359" w:leftChars="-171" w:right="-512" w:rightChars="-244"/>
        <w:jc w:val="center"/>
        <w:textAlignment w:val="auto"/>
        <w:rPr>
          <w:rFonts w:hint="eastAsia" w:ascii="宋体" w:hAnsi="宋体"/>
          <w:sz w:val="24"/>
        </w:rPr>
      </w:pPr>
    </w:p>
    <w:p w14:paraId="4394381F">
      <w:pPr>
        <w:pageBreakBefore w:val="0"/>
        <w:widowControl w:val="0"/>
        <w:kinsoku/>
        <w:overflowPunct/>
        <w:topLinePunct w:val="0"/>
        <w:autoSpaceDE/>
        <w:autoSpaceDN/>
        <w:bidi w:val="0"/>
        <w:spacing w:line="360" w:lineRule="auto"/>
        <w:ind w:left="-359" w:leftChars="-171" w:right="-512" w:rightChars="-244"/>
        <w:jc w:val="center"/>
        <w:textAlignment w:val="auto"/>
        <w:rPr>
          <w:rFonts w:ascii="宋体" w:hAnsi="宋体"/>
          <w:sz w:val="24"/>
        </w:rPr>
      </w:pPr>
      <w:r>
        <w:rPr>
          <w:rFonts w:hint="eastAsia" w:ascii="宋体" w:hAnsi="宋体"/>
          <w:sz w:val="24"/>
        </w:rPr>
        <w:t>内部文件，注意保存</w:t>
      </w:r>
    </w:p>
    <w:p w14:paraId="1C92163D">
      <w:pPr>
        <w:pageBreakBefore w:val="0"/>
        <w:widowControl w:val="0"/>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sz w:val="24"/>
        </w:rPr>
      </w:pPr>
      <w:r>
        <w:rPr>
          <w:rFonts w:hint="eastAsia" w:ascii="宋体" w:hAnsi="宋体"/>
          <w:sz w:val="24"/>
        </w:rPr>
        <w:t>未经许可不得擅自复制、泄露、公布及出版</w:t>
      </w:r>
    </w:p>
    <w:p w14:paraId="0A8B818B">
      <w:pPr>
        <w:pageBreakBefore w:val="0"/>
        <w:widowControl w:val="0"/>
        <w:kinsoku/>
        <w:overflowPunct/>
        <w:topLinePunct w:val="0"/>
        <w:autoSpaceDE/>
        <w:autoSpaceDN/>
        <w:bidi w:val="0"/>
        <w:spacing w:line="360" w:lineRule="auto"/>
        <w:ind w:firstLine="482" w:firstLineChars="200"/>
        <w:textAlignment w:val="auto"/>
        <w:rPr>
          <w:rFonts w:hint="eastAsia" w:ascii="宋体" w:hAnsi="宋体" w:cs="宋体"/>
          <w:b/>
          <w:bCs/>
          <w:sz w:val="24"/>
        </w:rPr>
        <w:sectPr>
          <w:headerReference r:id="rId5" w:type="default"/>
          <w:footerReference r:id="rId6" w:type="default"/>
          <w:pgSz w:w="11906" w:h="16838"/>
          <w:pgMar w:top="1417" w:right="1418" w:bottom="1417" w:left="1418" w:header="851" w:footer="850" w:gutter="340"/>
          <w:pgNumType w:fmt="decimal"/>
          <w:cols w:space="720" w:num="1"/>
          <w:rtlGutter w:val="0"/>
          <w:docGrid w:type="lines" w:linePitch="312" w:charSpace="0"/>
        </w:sectPr>
      </w:pPr>
    </w:p>
    <w:p w14:paraId="1C211329">
      <w:pPr>
        <w:keepNext w:val="0"/>
        <w:keepLines w:val="0"/>
        <w:pageBreakBefore w:val="0"/>
        <w:widowControl w:val="0"/>
        <w:kinsoku/>
        <w:wordWrap w:val="0"/>
        <w:overflowPunct/>
        <w:topLinePunct w:val="0"/>
        <w:autoSpaceDE/>
        <w:autoSpaceDN/>
        <w:bidi w:val="0"/>
        <w:adjustRightInd/>
        <w:snapToGrid/>
        <w:spacing w:before="0" w:after="0" w:line="360" w:lineRule="auto"/>
        <w:ind w:firstLine="3600"/>
        <w:jc w:val="both"/>
        <w:textAlignment w:val="auto"/>
        <w:rPr>
          <w:sz w:val="26"/>
        </w:rPr>
      </w:pPr>
      <w:r>
        <w:rPr>
          <w:rFonts w:hint="eastAsia" w:ascii="宋体" w:hAnsi="宋体" w:eastAsia="宋体"/>
          <w:b/>
          <w:bCs/>
          <w:color w:val="000000"/>
          <w:sz w:val="24"/>
          <w:szCs w:val="24"/>
        </w:rPr>
        <w:t>第一章 总 则</w:t>
      </w:r>
    </w:p>
    <w:p w14:paraId="453ADD12">
      <w:pPr>
        <w:keepNext w:val="0"/>
        <w:keepLines w:val="0"/>
        <w:pageBreakBefore w:val="0"/>
        <w:widowControl w:val="0"/>
        <w:kinsoku/>
        <w:wordWrap w:val="0"/>
        <w:overflowPunct/>
        <w:topLinePunct w:val="0"/>
        <w:autoSpaceDE/>
        <w:autoSpaceDN/>
        <w:bidi w:val="0"/>
        <w:adjustRightInd/>
        <w:snapToGrid/>
        <w:spacing w:before="0" w:after="0" w:line="360" w:lineRule="auto"/>
        <w:ind w:left="60" w:right="12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第一条 为保护</w:t>
      </w:r>
      <w:r>
        <w:rPr>
          <w:rFonts w:hint="eastAsia" w:ascii="宋体" w:hAnsi="宋体" w:eastAsia="宋体" w:cs="宋体"/>
          <w:color w:val="000000"/>
          <w:sz w:val="24"/>
          <w:szCs w:val="24"/>
          <w:lang w:val="en-US" w:eastAsia="zh-CN"/>
        </w:rPr>
        <w:t>生物医学研究</w:t>
      </w:r>
      <w:r>
        <w:rPr>
          <w:rFonts w:hint="eastAsia" w:ascii="宋体" w:hAnsi="宋体" w:eastAsia="宋体" w:cs="宋体"/>
          <w:color w:val="000000"/>
          <w:sz w:val="24"/>
          <w:szCs w:val="24"/>
        </w:rPr>
        <w:t>受试者的权益和安全，规范本伦理</w:t>
      </w:r>
      <w:r>
        <w:rPr>
          <w:rFonts w:hint="eastAsia" w:ascii="宋体" w:hAnsi="宋体" w:eastAsia="宋体" w:cs="宋体"/>
          <w:color w:val="000000"/>
          <w:sz w:val="24"/>
          <w:szCs w:val="24"/>
          <w:lang w:val="en-US" w:eastAsia="zh-CN"/>
        </w:rPr>
        <w:t>审查</w:t>
      </w:r>
      <w:r>
        <w:rPr>
          <w:rFonts w:hint="eastAsia" w:ascii="宋体" w:hAnsi="宋体" w:eastAsia="宋体" w:cs="宋体"/>
          <w:color w:val="000000"/>
          <w:sz w:val="24"/>
          <w:szCs w:val="24"/>
        </w:rPr>
        <w:t>委员会的组织和运作，根据国家药</w:t>
      </w:r>
      <w:r>
        <w:rPr>
          <w:rFonts w:hint="eastAsia" w:ascii="宋体" w:hAnsi="宋体" w:eastAsia="宋体" w:cs="宋体"/>
          <w:color w:val="000000"/>
          <w:sz w:val="24"/>
          <w:szCs w:val="24"/>
          <w:lang w:val="en-US" w:eastAsia="zh-CN"/>
        </w:rPr>
        <w:t>品监督管理局和</w:t>
      </w:r>
      <w:r>
        <w:rPr>
          <w:rFonts w:hint="eastAsia" w:ascii="宋体" w:hAnsi="宋体" w:eastAsia="宋体" w:cs="宋体"/>
          <w:color w:val="000000"/>
          <w:sz w:val="24"/>
          <w:szCs w:val="24"/>
        </w:rPr>
        <w:t>国家</w:t>
      </w:r>
      <w:r>
        <w:rPr>
          <w:rFonts w:hint="eastAsia" w:ascii="宋体" w:hAnsi="宋体" w:eastAsia="宋体" w:cs="宋体"/>
          <w:color w:val="000000"/>
          <w:sz w:val="24"/>
          <w:szCs w:val="24"/>
          <w:lang w:val="en-US" w:eastAsia="zh-CN"/>
        </w:rPr>
        <w:t>卫生健康委员会</w:t>
      </w:r>
      <w:r>
        <w:rPr>
          <w:rFonts w:hint="eastAsia" w:ascii="宋体" w:hAnsi="宋体" w:eastAsia="宋体" w:cs="宋体"/>
          <w:color w:val="000000"/>
          <w:sz w:val="24"/>
          <w:szCs w:val="24"/>
        </w:rPr>
        <w:t>《药物临床试验质量管理规范》（2020年），国家</w:t>
      </w:r>
      <w:r>
        <w:rPr>
          <w:rFonts w:hint="eastAsia" w:ascii="宋体" w:hAnsi="宋体" w:eastAsia="宋体" w:cs="宋体"/>
          <w:color w:val="000000"/>
          <w:sz w:val="24"/>
          <w:szCs w:val="24"/>
          <w:lang w:val="en-US" w:eastAsia="zh-CN"/>
        </w:rPr>
        <w:t>卫生和计划生育委员会</w:t>
      </w:r>
      <w:r>
        <w:rPr>
          <w:rFonts w:hint="eastAsia" w:ascii="宋体" w:hAnsi="宋体" w:eastAsia="宋体" w:cs="宋体"/>
          <w:color w:val="000000"/>
          <w:sz w:val="24"/>
          <w:szCs w:val="24"/>
        </w:rPr>
        <w:t>《涉及人的生物医学研究伦理审查办法》（2016年），国家中医药管理局《中医药临床研究伦理审查管理规范》（2010年），国家食品药品监督管理总局《医疗器械临床试验质量管理规范》（2016年）、《药物临床试验伦理审查工作指导原则》（2010年）、</w:t>
      </w:r>
      <w:r>
        <w:rPr>
          <w:rFonts w:hint="eastAsia" w:ascii="宋体" w:hAnsi="宋体" w:cs="宋体"/>
          <w:color w:val="000000"/>
          <w:sz w:val="24"/>
          <w:szCs w:val="24"/>
          <w:lang w:val="en-US" w:eastAsia="zh-CN"/>
        </w:rPr>
        <w:t>国家认证认可监督管理委员会</w:t>
      </w:r>
      <w:r>
        <w:rPr>
          <w:rFonts w:hint="eastAsia" w:ascii="宋体" w:hAnsi="宋体" w:eastAsia="宋体" w:cs="宋体"/>
          <w:color w:val="000000"/>
          <w:sz w:val="24"/>
          <w:szCs w:val="24"/>
        </w:rPr>
        <w:t>《涉及人的生命科学和医学研究伦理审查办法》（2023年）等制定本章程。</w:t>
      </w:r>
    </w:p>
    <w:p w14:paraId="238BA2B2">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第二条 医院负责建立涉及人的生物医学研究伦理审查系统，在这个体系框架中，各相关管理部门、伦理审查委员会及办公室，以及研究者和研究人员遵循相关法律、法规、政策和指南，遵循公认的伦理准则，相互协作，实现保护受试者权益和安全的目标。</w:t>
      </w:r>
    </w:p>
    <w:p w14:paraId="2B85D7C3">
      <w:pPr>
        <w:spacing w:line="360" w:lineRule="auto"/>
        <w:ind w:firstLine="480" w:firstLineChars="200"/>
        <w:rPr>
          <w:rFonts w:hint="default" w:ascii="宋体" w:hAnsi="宋体" w:cs="宋体"/>
          <w:sz w:val="24"/>
          <w:szCs w:val="24"/>
          <w:lang w:val="en-US" w:eastAsia="zh-CN"/>
        </w:rPr>
      </w:pPr>
      <w:r>
        <w:rPr>
          <w:rFonts w:hint="eastAsia" w:ascii="宋体" w:hAnsi="宋体" w:eastAsia="宋体" w:cs="宋体"/>
          <w:color w:val="000000"/>
          <w:sz w:val="24"/>
          <w:szCs w:val="24"/>
          <w:lang w:val="en-US" w:eastAsia="zh-CN"/>
        </w:rPr>
        <w:t xml:space="preserve">第三条 </w:t>
      </w:r>
      <w:r>
        <w:rPr>
          <w:rFonts w:hint="eastAsia" w:ascii="宋体" w:hAnsi="宋体" w:eastAsia="宋体" w:cs="宋体"/>
          <w:color w:val="000000"/>
          <w:sz w:val="24"/>
          <w:szCs w:val="24"/>
        </w:rPr>
        <w:t>医院负责伦理</w:t>
      </w:r>
      <w:r>
        <w:rPr>
          <w:rFonts w:hint="eastAsia" w:ascii="宋体" w:hAnsi="宋体" w:eastAsia="宋体" w:cs="宋体"/>
          <w:color w:val="000000"/>
          <w:sz w:val="24"/>
          <w:szCs w:val="24"/>
          <w:lang w:val="en-US" w:eastAsia="zh-CN"/>
        </w:rPr>
        <w:t>审查</w:t>
      </w:r>
      <w:r>
        <w:rPr>
          <w:rFonts w:hint="eastAsia" w:ascii="宋体" w:hAnsi="宋体" w:eastAsia="宋体" w:cs="宋体"/>
          <w:color w:val="000000"/>
          <w:sz w:val="24"/>
          <w:szCs w:val="24"/>
        </w:rPr>
        <w:t>委员会的组建和换届，授予伦理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委员会独立审查权利，提供伦理</w:t>
      </w:r>
      <w:r>
        <w:rPr>
          <w:rFonts w:hint="eastAsia" w:ascii="宋体" w:hAnsi="宋体" w:eastAsia="宋体" w:cs="宋体"/>
          <w:color w:val="000000"/>
          <w:sz w:val="24"/>
          <w:szCs w:val="24"/>
          <w:lang w:val="en-US" w:eastAsia="zh-CN"/>
        </w:rPr>
        <w:t>审查</w:t>
      </w:r>
      <w:r>
        <w:rPr>
          <w:rFonts w:hint="eastAsia" w:ascii="宋体" w:hAnsi="宋体" w:eastAsia="宋体" w:cs="宋体"/>
          <w:color w:val="000000"/>
          <w:sz w:val="24"/>
          <w:szCs w:val="24"/>
        </w:rPr>
        <w:t>委员会管理和运行所需的资源。</w:t>
      </w:r>
    </w:p>
    <w:p w14:paraId="1371A2EF">
      <w:pPr>
        <w:keepNext w:val="0"/>
        <w:keepLines w:val="0"/>
        <w:pageBreakBefore w:val="0"/>
        <w:widowControl w:val="0"/>
        <w:kinsoku/>
        <w:wordWrap w:val="0"/>
        <w:overflowPunct/>
        <w:topLinePunct w:val="0"/>
        <w:autoSpaceDE/>
        <w:autoSpaceDN/>
        <w:bidi w:val="0"/>
        <w:adjustRightInd/>
        <w:snapToGrid/>
        <w:spacing w:before="0" w:after="0" w:line="360" w:lineRule="auto"/>
        <w:ind w:left="60" w:right="12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w:t>
      </w:r>
      <w:r>
        <w:rPr>
          <w:rFonts w:hint="eastAsia" w:ascii="宋体" w:hAnsi="宋体" w:eastAsia="宋体" w:cs="宋体"/>
          <w:color w:val="000000"/>
          <w:sz w:val="24"/>
          <w:szCs w:val="24"/>
          <w:lang w:val="en-US" w:eastAsia="zh-CN"/>
        </w:rPr>
        <w:t>四</w:t>
      </w:r>
      <w:r>
        <w:rPr>
          <w:rFonts w:hint="eastAsia" w:ascii="宋体" w:hAnsi="宋体" w:eastAsia="宋体" w:cs="宋体"/>
          <w:color w:val="000000"/>
          <w:sz w:val="24"/>
          <w:szCs w:val="24"/>
        </w:rPr>
        <w:t>条 伦理</w:t>
      </w:r>
      <w:r>
        <w:rPr>
          <w:rFonts w:hint="eastAsia" w:ascii="宋体" w:hAnsi="宋体" w:eastAsia="宋体" w:cs="宋体"/>
          <w:color w:val="000000"/>
          <w:sz w:val="24"/>
          <w:szCs w:val="24"/>
          <w:lang w:val="en-US" w:eastAsia="zh-CN"/>
        </w:rPr>
        <w:t>审查</w:t>
      </w:r>
      <w:r>
        <w:rPr>
          <w:rFonts w:hint="eastAsia" w:ascii="宋体" w:hAnsi="宋体" w:eastAsia="宋体" w:cs="宋体"/>
          <w:color w:val="000000"/>
          <w:sz w:val="24"/>
          <w:szCs w:val="24"/>
        </w:rPr>
        <w:t>委员会的宗旨是通过对临床研究项目的伦理审查，确保受试者安全和权益得到保护，促进生物医学研究达到科学和伦理的高标准，增强公众对临床研究的信任和支持。</w:t>
      </w:r>
    </w:p>
    <w:p w14:paraId="79A4C95D">
      <w:pPr>
        <w:keepNext w:val="0"/>
        <w:keepLines w:val="0"/>
        <w:pageBreakBefore w:val="0"/>
        <w:widowControl w:val="0"/>
        <w:kinsoku/>
        <w:wordWrap w:val="0"/>
        <w:overflowPunct/>
        <w:topLinePunct w:val="0"/>
        <w:autoSpaceDE/>
        <w:autoSpaceDN/>
        <w:bidi w:val="0"/>
        <w:adjustRightInd/>
        <w:snapToGrid/>
        <w:spacing w:before="0" w:after="0" w:line="360" w:lineRule="auto"/>
        <w:ind w:left="60" w:right="120" w:firstLine="480" w:firstLineChars="200"/>
        <w:jc w:val="both"/>
        <w:textAlignment w:val="auto"/>
        <w:rPr>
          <w:rFonts w:hint="eastAsia" w:ascii="宋体" w:hAnsi="宋体" w:eastAsia="宋体" w:cs="宋体"/>
          <w:color w:val="000000"/>
          <w:sz w:val="24"/>
          <w:szCs w:val="24"/>
        </w:rPr>
      </w:pPr>
    </w:p>
    <w:p w14:paraId="38CB765A">
      <w:pPr>
        <w:keepNext w:val="0"/>
        <w:keepLines w:val="0"/>
        <w:pageBreakBefore w:val="0"/>
        <w:widowControl w:val="0"/>
        <w:kinsoku/>
        <w:wordWrap w:val="0"/>
        <w:overflowPunct/>
        <w:topLinePunct w:val="0"/>
        <w:autoSpaceDE/>
        <w:autoSpaceDN/>
        <w:bidi w:val="0"/>
        <w:adjustRightInd/>
        <w:snapToGrid/>
        <w:spacing w:before="0" w:after="0" w:line="360" w:lineRule="auto"/>
        <w:ind w:left="60" w:right="120" w:firstLine="0"/>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第二章 </w:t>
      </w:r>
      <w:r>
        <w:rPr>
          <w:rFonts w:hint="eastAsia" w:ascii="宋体" w:hAnsi="宋体" w:eastAsia="宋体" w:cs="宋体"/>
          <w:b/>
          <w:bCs/>
          <w:color w:val="000000"/>
          <w:sz w:val="24"/>
          <w:szCs w:val="24"/>
          <w:lang w:val="en-US" w:eastAsia="zh-CN"/>
        </w:rPr>
        <w:t>伦理审查委员会的</w:t>
      </w:r>
      <w:r>
        <w:rPr>
          <w:rFonts w:hint="eastAsia" w:ascii="宋体" w:hAnsi="宋体" w:eastAsia="宋体" w:cs="宋体"/>
          <w:b/>
          <w:bCs/>
          <w:color w:val="000000"/>
          <w:sz w:val="24"/>
          <w:szCs w:val="24"/>
        </w:rPr>
        <w:t>组织</w:t>
      </w:r>
    </w:p>
    <w:p w14:paraId="661E6ABC">
      <w:pPr>
        <w:spacing w:line="360" w:lineRule="auto"/>
        <w:ind w:firstLine="480" w:firstLineChars="200"/>
        <w:rPr>
          <w:rFonts w:ascii="宋体" w:hAnsi="宋体" w:cs="宋体"/>
          <w:sz w:val="24"/>
          <w:szCs w:val="24"/>
        </w:rPr>
      </w:pPr>
      <w:r>
        <w:rPr>
          <w:rFonts w:ascii="宋体" w:hAnsi="宋体" w:cs="宋体"/>
          <w:sz w:val="24"/>
          <w:szCs w:val="24"/>
        </w:rPr>
        <w:t>第</w:t>
      </w:r>
      <w:r>
        <w:rPr>
          <w:rFonts w:hint="eastAsia" w:ascii="宋体" w:hAnsi="宋体" w:cs="宋体"/>
          <w:sz w:val="24"/>
          <w:szCs w:val="24"/>
          <w:lang w:val="en-US" w:eastAsia="zh-CN"/>
        </w:rPr>
        <w:t>五</w:t>
      </w:r>
      <w:r>
        <w:rPr>
          <w:rFonts w:ascii="宋体" w:hAnsi="宋体" w:cs="宋体"/>
          <w:sz w:val="24"/>
          <w:szCs w:val="24"/>
        </w:rPr>
        <w:t>条 伦理审查委员会名称：</w:t>
      </w:r>
      <w:r>
        <w:rPr>
          <w:rFonts w:hint="eastAsia" w:ascii="宋体" w:hAnsi="宋体" w:cs="宋体"/>
          <w:sz w:val="24"/>
          <w:szCs w:val="24"/>
          <w:lang w:val="en-US" w:eastAsia="zh-CN"/>
        </w:rPr>
        <w:t>北京市第二医院</w:t>
      </w:r>
      <w:r>
        <w:rPr>
          <w:rFonts w:ascii="宋体" w:hAnsi="宋体" w:cs="宋体"/>
          <w:sz w:val="24"/>
          <w:szCs w:val="24"/>
        </w:rPr>
        <w:t>伦理审查委员会。</w:t>
      </w:r>
    </w:p>
    <w:p w14:paraId="06CB49E7">
      <w:pPr>
        <w:spacing w:line="360" w:lineRule="auto"/>
        <w:ind w:firstLine="480" w:firstLineChars="200"/>
        <w:rPr>
          <w:rFonts w:hint="default" w:ascii="宋体" w:hAnsi="宋体" w:cs="宋体"/>
          <w:sz w:val="24"/>
          <w:szCs w:val="24"/>
        </w:rPr>
      </w:pPr>
      <w:r>
        <w:rPr>
          <w:rFonts w:ascii="宋体" w:hAnsi="宋体" w:cs="宋体"/>
          <w:sz w:val="24"/>
          <w:szCs w:val="24"/>
        </w:rPr>
        <w:t>第</w:t>
      </w:r>
      <w:r>
        <w:rPr>
          <w:rFonts w:hint="eastAsia" w:ascii="宋体" w:hAnsi="宋体" w:cs="宋体"/>
          <w:sz w:val="24"/>
          <w:szCs w:val="24"/>
          <w:lang w:val="en-US" w:eastAsia="zh-CN"/>
        </w:rPr>
        <w:t>六</w:t>
      </w:r>
      <w:r>
        <w:rPr>
          <w:rFonts w:ascii="宋体" w:hAnsi="宋体" w:cs="宋体"/>
          <w:sz w:val="24"/>
          <w:szCs w:val="24"/>
        </w:rPr>
        <w:t>条 伦理审查委员会地址：</w:t>
      </w:r>
      <w:r>
        <w:rPr>
          <w:rFonts w:hint="eastAsia" w:ascii="宋体" w:hAnsi="宋体" w:cs="宋体"/>
          <w:sz w:val="24"/>
          <w:szCs w:val="24"/>
        </w:rPr>
        <w:t>北京市西城区宣武门内大街油坊胡同36号</w:t>
      </w:r>
      <w:r>
        <w:rPr>
          <w:rFonts w:ascii="宋体" w:hAnsi="宋体" w:cs="宋体"/>
          <w:sz w:val="24"/>
          <w:szCs w:val="24"/>
        </w:rPr>
        <w:t>。</w:t>
      </w:r>
    </w:p>
    <w:p w14:paraId="6C727221">
      <w:pPr>
        <w:spacing w:line="360" w:lineRule="auto"/>
        <w:ind w:firstLine="480" w:firstLineChars="200"/>
        <w:rPr>
          <w:rFonts w:ascii="宋体" w:hAnsi="宋体" w:cs="宋体"/>
          <w:sz w:val="24"/>
          <w:szCs w:val="24"/>
        </w:rPr>
      </w:pPr>
      <w:r>
        <w:rPr>
          <w:rFonts w:ascii="宋体" w:hAnsi="宋体" w:cs="宋体"/>
          <w:sz w:val="24"/>
          <w:szCs w:val="24"/>
        </w:rPr>
        <w:t>第</w:t>
      </w:r>
      <w:r>
        <w:rPr>
          <w:rFonts w:hint="eastAsia" w:ascii="宋体" w:hAnsi="宋体" w:cs="宋体"/>
          <w:sz w:val="24"/>
          <w:szCs w:val="24"/>
          <w:lang w:val="en-US" w:eastAsia="zh-CN"/>
        </w:rPr>
        <w:t>七</w:t>
      </w:r>
      <w:r>
        <w:rPr>
          <w:rFonts w:ascii="宋体" w:hAnsi="宋体" w:cs="宋体"/>
          <w:sz w:val="24"/>
          <w:szCs w:val="24"/>
        </w:rPr>
        <w:t>条 组织架构：本伦理审查委员会隶属</w:t>
      </w:r>
      <w:r>
        <w:rPr>
          <w:rFonts w:hint="eastAsia" w:ascii="宋体" w:hAnsi="宋体" w:cs="宋体"/>
          <w:sz w:val="24"/>
          <w:szCs w:val="24"/>
          <w:lang w:eastAsia="zh-CN"/>
        </w:rPr>
        <w:t>北京市第二医院，设伦理</w:t>
      </w:r>
      <w:r>
        <w:rPr>
          <w:rFonts w:hint="eastAsia" w:ascii="宋体" w:hAnsi="宋体" w:cs="宋体"/>
          <w:sz w:val="24"/>
          <w:szCs w:val="24"/>
          <w:lang w:val="en-US" w:eastAsia="zh-CN"/>
        </w:rPr>
        <w:t>审查</w:t>
      </w:r>
      <w:r>
        <w:rPr>
          <w:rFonts w:hint="eastAsia" w:ascii="宋体" w:hAnsi="宋体" w:cs="宋体"/>
          <w:sz w:val="24"/>
          <w:szCs w:val="24"/>
          <w:lang w:eastAsia="zh-CN"/>
        </w:rPr>
        <w:t>委员会办公室，为伦理审查委员会办事机构。</w:t>
      </w:r>
    </w:p>
    <w:p w14:paraId="26655413">
      <w:pPr>
        <w:keepNext w:val="0"/>
        <w:keepLines w:val="0"/>
        <w:pageBreakBefore w:val="0"/>
        <w:widowControl w:val="0"/>
        <w:kinsoku/>
        <w:wordWrap w:val="0"/>
        <w:overflowPunct/>
        <w:topLinePunct w:val="0"/>
        <w:autoSpaceDE/>
        <w:autoSpaceDN/>
        <w:bidi w:val="0"/>
        <w:adjustRightInd/>
        <w:snapToGrid/>
        <w:spacing w:before="0" w:after="0" w:line="360" w:lineRule="auto"/>
        <w:ind w:left="60" w:right="12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第</w:t>
      </w:r>
      <w:r>
        <w:rPr>
          <w:rFonts w:hint="eastAsia" w:ascii="宋体" w:hAnsi="宋体" w:eastAsia="宋体" w:cs="宋体"/>
          <w:color w:val="000000"/>
          <w:sz w:val="24"/>
          <w:szCs w:val="24"/>
          <w:lang w:val="en-US" w:eastAsia="zh-CN"/>
        </w:rPr>
        <w:t>八</w:t>
      </w:r>
      <w:r>
        <w:rPr>
          <w:rFonts w:hint="eastAsia" w:ascii="宋体" w:hAnsi="宋体" w:eastAsia="宋体" w:cs="宋体"/>
          <w:color w:val="000000"/>
          <w:sz w:val="24"/>
          <w:szCs w:val="24"/>
        </w:rPr>
        <w:t>条 委员组成：本伦理</w:t>
      </w:r>
      <w:r>
        <w:rPr>
          <w:rFonts w:hint="eastAsia" w:ascii="宋体" w:hAnsi="宋体" w:eastAsia="宋体" w:cs="宋体"/>
          <w:color w:val="000000"/>
          <w:sz w:val="24"/>
          <w:szCs w:val="24"/>
          <w:lang w:val="en-US" w:eastAsia="zh-CN"/>
        </w:rPr>
        <w:t>审查</w:t>
      </w:r>
      <w:r>
        <w:rPr>
          <w:rFonts w:hint="eastAsia" w:ascii="宋体" w:hAnsi="宋体" w:eastAsia="宋体" w:cs="宋体"/>
          <w:color w:val="000000"/>
          <w:sz w:val="24"/>
          <w:szCs w:val="24"/>
        </w:rPr>
        <w:t>委员会委员的组成和数量与所审查项目的专业类别和数量相符。委员类别应当包括医药专业、非医药专业的委员，独立于医院（即：</w:t>
      </w:r>
      <w:r>
        <w:rPr>
          <w:rFonts w:hint="eastAsia" w:ascii="宋体" w:hAnsi="宋体" w:eastAsia="宋体" w:cs="宋体"/>
          <w:color w:val="000000"/>
          <w:sz w:val="24"/>
          <w:szCs w:val="24"/>
          <w:lang w:val="en-US" w:eastAsia="zh-CN"/>
        </w:rPr>
        <w:t>不</w:t>
      </w:r>
      <w:r>
        <w:rPr>
          <w:rFonts w:hint="eastAsia" w:ascii="宋体" w:hAnsi="宋体" w:eastAsia="宋体" w:cs="宋体"/>
          <w:color w:val="000000"/>
          <w:sz w:val="24"/>
          <w:szCs w:val="24"/>
        </w:rPr>
        <w:t>隶属医院且不是医院成员的直系亲属）的委员、法律专家，并有不同性别的委员；委员人数不少于7人。</w:t>
      </w:r>
    </w:p>
    <w:p w14:paraId="2FA19A84">
      <w:pPr>
        <w:keepNext w:val="0"/>
        <w:keepLines w:val="0"/>
        <w:pageBreakBefore w:val="0"/>
        <w:widowControl w:val="0"/>
        <w:kinsoku/>
        <w:wordWrap w:val="0"/>
        <w:overflowPunct/>
        <w:topLinePunct w:val="0"/>
        <w:autoSpaceDE/>
        <w:autoSpaceDN/>
        <w:bidi w:val="0"/>
        <w:adjustRightInd/>
        <w:snapToGrid/>
        <w:spacing w:before="42" w:after="0" w:line="360" w:lineRule="auto"/>
        <w:ind w:left="60" w:right="120" w:firstLine="50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医院的法人代表与临床试验管理部门的领导，不担任本伦理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委员会主任委员或副主任委员，也不参与伦理</w:t>
      </w:r>
      <w:r>
        <w:rPr>
          <w:rFonts w:hint="eastAsia" w:ascii="宋体" w:hAnsi="宋体" w:eastAsia="宋体" w:cs="宋体"/>
          <w:color w:val="000000"/>
          <w:sz w:val="24"/>
          <w:szCs w:val="24"/>
          <w:lang w:val="en-US" w:eastAsia="zh-CN"/>
        </w:rPr>
        <w:t>审查</w:t>
      </w:r>
      <w:r>
        <w:rPr>
          <w:rFonts w:hint="eastAsia" w:ascii="宋体" w:hAnsi="宋体" w:eastAsia="宋体" w:cs="宋体"/>
          <w:color w:val="000000"/>
          <w:sz w:val="24"/>
          <w:szCs w:val="24"/>
        </w:rPr>
        <w:t>委员会办公室的日常管理，以避免相互竞争的研究业务发展利益对伦理审查过程的影响。</w:t>
      </w:r>
    </w:p>
    <w:p w14:paraId="37013481">
      <w:pPr>
        <w:spacing w:line="360" w:lineRule="auto"/>
        <w:ind w:firstLine="480" w:firstLineChars="200"/>
        <w:rPr>
          <w:rFonts w:hint="eastAsia" w:ascii="宋体" w:hAnsi="宋体" w:eastAsia="宋体" w:cs="宋体"/>
          <w:sz w:val="24"/>
          <w:szCs w:val="24"/>
        </w:rPr>
      </w:pPr>
      <w:r>
        <w:rPr>
          <w:rFonts w:hint="eastAsia" w:ascii="宋体" w:hAnsi="宋体" w:eastAsia="宋体" w:cs="宋体"/>
          <w:b w:val="0"/>
          <w:bCs/>
          <w:color w:val="000000"/>
          <w:sz w:val="24"/>
          <w:szCs w:val="24"/>
        </w:rPr>
        <w:t>第</w:t>
      </w:r>
      <w:r>
        <w:rPr>
          <w:rFonts w:hint="eastAsia" w:ascii="宋体" w:hAnsi="宋体" w:eastAsia="宋体" w:cs="宋体"/>
          <w:b w:val="0"/>
          <w:bCs/>
          <w:color w:val="000000"/>
          <w:sz w:val="24"/>
          <w:szCs w:val="24"/>
          <w:lang w:val="en-US" w:eastAsia="zh-CN"/>
        </w:rPr>
        <w:t>九</w:t>
      </w:r>
      <w:r>
        <w:rPr>
          <w:rFonts w:hint="eastAsia" w:ascii="宋体" w:hAnsi="宋体" w:eastAsia="宋体" w:cs="宋体"/>
          <w:b w:val="0"/>
          <w:bCs/>
          <w:color w:val="000000"/>
          <w:sz w:val="24"/>
          <w:szCs w:val="24"/>
        </w:rPr>
        <w:t>条</w:t>
      </w:r>
      <w:r>
        <w:rPr>
          <w:rFonts w:hint="eastAsia" w:ascii="宋体" w:hAnsi="宋体" w:eastAsia="宋体" w:cs="宋体"/>
          <w:color w:val="000000"/>
          <w:sz w:val="24"/>
          <w:szCs w:val="24"/>
        </w:rPr>
        <w:t xml:space="preserve"> 主任委员：伦理</w:t>
      </w:r>
      <w:r>
        <w:rPr>
          <w:rFonts w:hint="eastAsia" w:ascii="宋体" w:hAnsi="宋体" w:eastAsia="宋体" w:cs="宋体"/>
          <w:color w:val="000000"/>
          <w:sz w:val="24"/>
          <w:szCs w:val="24"/>
          <w:lang w:eastAsia="zh-CN"/>
        </w:rPr>
        <w:t>审查</w:t>
      </w:r>
      <w:r>
        <w:rPr>
          <w:rFonts w:hint="eastAsia" w:ascii="宋体" w:hAnsi="宋体" w:eastAsia="宋体" w:cs="宋体"/>
          <w:color w:val="000000"/>
          <w:sz w:val="24"/>
          <w:szCs w:val="24"/>
        </w:rPr>
        <w:t>委员会设主任委员1名，副主任委员</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名。主任委员和副主任委员由伦理</w:t>
      </w:r>
      <w:r>
        <w:rPr>
          <w:rFonts w:hint="eastAsia" w:ascii="宋体" w:hAnsi="宋体" w:eastAsia="宋体" w:cs="宋体"/>
          <w:color w:val="000000"/>
          <w:sz w:val="24"/>
          <w:szCs w:val="24"/>
          <w:lang w:eastAsia="zh-CN"/>
        </w:rPr>
        <w:t>审查</w:t>
      </w:r>
      <w:r>
        <w:rPr>
          <w:rFonts w:hint="eastAsia" w:ascii="宋体" w:hAnsi="宋体" w:eastAsia="宋体" w:cs="宋体"/>
          <w:color w:val="000000"/>
          <w:sz w:val="24"/>
          <w:szCs w:val="24"/>
        </w:rPr>
        <w:t>委员会委员选举产生，经医院院长办公会任命。主任委员负责主持审查会议，审签会议记录，审签决定文件。主任委员因故不能履行职责时，</w:t>
      </w:r>
      <w:r>
        <w:rPr>
          <w:rFonts w:ascii="宋体" w:hAnsi="宋体" w:cs="宋体"/>
          <w:sz w:val="24"/>
          <w:szCs w:val="24"/>
        </w:rPr>
        <w:t>应委托副主任委员接替行使主任委员履行职责</w:t>
      </w:r>
      <w:r>
        <w:rPr>
          <w:rFonts w:hint="eastAsia" w:ascii="宋体" w:hAnsi="宋体" w:cs="宋体"/>
          <w:sz w:val="24"/>
          <w:szCs w:val="24"/>
          <w:lang w:eastAsia="zh-CN"/>
        </w:rPr>
        <w:t>；</w:t>
      </w:r>
      <w:r>
        <w:rPr>
          <w:rFonts w:hint="eastAsia" w:ascii="宋体" w:hAnsi="宋体" w:cs="宋体"/>
          <w:sz w:val="24"/>
          <w:szCs w:val="24"/>
          <w:lang w:val="en-US" w:eastAsia="zh-CN"/>
        </w:rPr>
        <w:t>主任委员和副主任委员皆因故不能履行职责时，应委托一名委员接替行使主任委员履行职责。</w:t>
      </w:r>
      <w:r>
        <w:rPr>
          <w:rFonts w:hint="eastAsia" w:ascii="宋体" w:hAnsi="宋体" w:eastAsia="宋体" w:cs="宋体"/>
          <w:color w:val="000000"/>
          <w:sz w:val="24"/>
          <w:szCs w:val="24"/>
        </w:rPr>
        <w:t>主任委员与其他委员之间不是领导与被领导的关系。</w:t>
      </w:r>
    </w:p>
    <w:p w14:paraId="47F349E6">
      <w:pPr>
        <w:spacing w:line="360" w:lineRule="auto"/>
        <w:ind w:firstLine="480" w:firstLineChars="200"/>
        <w:rPr>
          <w:rFonts w:hint="eastAsia" w:ascii="宋体" w:hAnsi="宋体" w:eastAsia="宋体" w:cs="宋体"/>
          <w:sz w:val="24"/>
          <w:szCs w:val="24"/>
        </w:rPr>
      </w:pPr>
      <w:r>
        <w:rPr>
          <w:rFonts w:hint="eastAsia" w:ascii="宋体" w:hAnsi="宋体" w:eastAsia="宋体" w:cs="宋体"/>
          <w:b w:val="0"/>
          <w:bCs/>
          <w:color w:val="000000"/>
          <w:sz w:val="24"/>
          <w:szCs w:val="24"/>
        </w:rPr>
        <w:t>第</w:t>
      </w:r>
      <w:r>
        <w:rPr>
          <w:rFonts w:hint="eastAsia" w:ascii="宋体" w:hAnsi="宋体" w:eastAsia="宋体" w:cs="宋体"/>
          <w:b w:val="0"/>
          <w:bCs/>
          <w:color w:val="000000"/>
          <w:sz w:val="24"/>
          <w:szCs w:val="24"/>
          <w:lang w:val="en-US" w:eastAsia="zh-CN"/>
        </w:rPr>
        <w:t>十</w:t>
      </w:r>
      <w:r>
        <w:rPr>
          <w:rFonts w:hint="eastAsia" w:ascii="宋体" w:hAnsi="宋体" w:eastAsia="宋体" w:cs="宋体"/>
          <w:b w:val="0"/>
          <w:bCs/>
          <w:color w:val="000000"/>
          <w:sz w:val="24"/>
          <w:szCs w:val="24"/>
        </w:rPr>
        <w:t>条</w:t>
      </w:r>
      <w:r>
        <w:rPr>
          <w:rFonts w:hint="eastAsia" w:ascii="宋体" w:hAnsi="宋体" w:eastAsia="宋体" w:cs="宋体"/>
          <w:color w:val="000000"/>
          <w:sz w:val="24"/>
          <w:szCs w:val="24"/>
        </w:rPr>
        <w:t xml:space="preserve"> 委员</w:t>
      </w:r>
      <w:r>
        <w:rPr>
          <w:rFonts w:hint="eastAsia" w:ascii="宋体" w:hAnsi="宋体" w:eastAsia="宋体" w:cs="宋体"/>
          <w:color w:val="000000"/>
          <w:sz w:val="24"/>
          <w:szCs w:val="24"/>
          <w:lang w:val="en-US" w:eastAsia="zh-CN"/>
        </w:rPr>
        <w:t>的</w:t>
      </w:r>
      <w:r>
        <w:rPr>
          <w:rFonts w:hint="eastAsia" w:ascii="宋体" w:hAnsi="宋体" w:eastAsia="宋体" w:cs="宋体"/>
          <w:color w:val="000000"/>
          <w:sz w:val="24"/>
          <w:szCs w:val="24"/>
        </w:rPr>
        <w:t>招募／推荐：</w:t>
      </w:r>
      <w:r>
        <w:rPr>
          <w:rFonts w:hint="eastAsia" w:ascii="宋体" w:hAnsi="宋体" w:cs="宋体"/>
          <w:sz w:val="24"/>
          <w:szCs w:val="24"/>
          <w:lang w:val="en-US" w:eastAsia="zh-CN"/>
        </w:rPr>
        <w:t>伦理审查委员会采用公开招募与推荐相结合的方式产生，人事科负责委员的招募工作</w:t>
      </w:r>
      <w:r>
        <w:rPr>
          <w:rFonts w:hint="eastAsia"/>
          <w:lang w:eastAsia="zh-CN"/>
        </w:rPr>
        <w:t>，</w:t>
      </w:r>
      <w:r>
        <w:rPr>
          <w:rFonts w:ascii="宋体" w:hAnsi="宋体" w:eastAsia="宋体" w:cs="宋体"/>
          <w:sz w:val="24"/>
          <w:szCs w:val="24"/>
        </w:rPr>
        <w:t>推荐</w:t>
      </w:r>
      <w:r>
        <w:rPr>
          <w:rFonts w:hint="eastAsia" w:ascii="宋体" w:hAnsi="宋体" w:eastAsia="宋体" w:cs="宋体"/>
          <w:sz w:val="24"/>
          <w:szCs w:val="24"/>
          <w:lang w:val="en-US" w:eastAsia="zh-CN"/>
        </w:rPr>
        <w:t>的委员必须</w:t>
      </w:r>
      <w:r>
        <w:rPr>
          <w:rFonts w:ascii="宋体" w:hAnsi="宋体" w:eastAsia="宋体" w:cs="宋体"/>
          <w:sz w:val="24"/>
          <w:szCs w:val="24"/>
        </w:rPr>
        <w:t>征询本人意见</w:t>
      </w:r>
      <w:r>
        <w:rPr>
          <w:rFonts w:hint="eastAsia" w:ascii="宋体" w:hAnsi="宋体" w:eastAsia="宋体" w:cs="宋体"/>
          <w:sz w:val="24"/>
          <w:szCs w:val="24"/>
        </w:rPr>
        <w:t>，</w:t>
      </w:r>
      <w:r>
        <w:rPr>
          <w:rFonts w:hint="eastAsia" w:ascii="宋体" w:hAnsi="宋体" w:eastAsia="宋体" w:cs="宋体"/>
          <w:sz w:val="24"/>
          <w:szCs w:val="24"/>
          <w:lang w:val="en-US" w:eastAsia="zh-CN"/>
        </w:rPr>
        <w:t>最终形成候选人名单</w:t>
      </w:r>
      <w:r>
        <w:rPr>
          <w:rFonts w:hint="eastAsia" w:ascii="宋体" w:hAnsi="宋体" w:eastAsia="宋体" w:cs="宋体"/>
          <w:sz w:val="24"/>
          <w:szCs w:val="24"/>
        </w:rPr>
        <w:t>。</w:t>
      </w:r>
    </w:p>
    <w:p w14:paraId="79C620ED">
      <w:pPr>
        <w:keepNext w:val="0"/>
        <w:keepLines w:val="0"/>
        <w:pageBreakBefore w:val="0"/>
        <w:widowControl w:val="0"/>
        <w:kinsoku/>
        <w:wordWrap w:val="0"/>
        <w:overflowPunct/>
        <w:topLinePunct w:val="0"/>
        <w:autoSpaceDE/>
        <w:autoSpaceDN/>
        <w:bidi w:val="0"/>
        <w:adjustRightInd/>
        <w:snapToGrid/>
        <w:spacing w:before="92" w:after="0" w:line="360" w:lineRule="auto"/>
        <w:ind w:right="12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第</w:t>
      </w:r>
      <w:r>
        <w:rPr>
          <w:rFonts w:hint="eastAsia" w:ascii="宋体" w:hAnsi="宋体" w:eastAsia="宋体" w:cs="宋体"/>
          <w:color w:val="000000"/>
          <w:sz w:val="24"/>
          <w:szCs w:val="24"/>
          <w:lang w:val="en-US" w:eastAsia="zh-CN"/>
        </w:rPr>
        <w:t>十一</w:t>
      </w:r>
      <w:r>
        <w:rPr>
          <w:rFonts w:hint="eastAsia" w:ascii="宋体" w:hAnsi="宋体" w:eastAsia="宋体" w:cs="宋体"/>
          <w:color w:val="000000"/>
          <w:sz w:val="24"/>
          <w:szCs w:val="24"/>
        </w:rPr>
        <w:t>条 委员任命与聘任：医院负责伦理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委员会委员的任命事项。伦理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委员的候选人员名单提交医院院长办公会审查讨论，同意当选的票数应当超过院长办公会全体组成人员的半数。如果医院院长办公会的组成人员是委员的候选人员，其应当退出任命程序。医院颁发正式书面文件任命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委员会的委员、主任委员、副主任委员、秘书。书面聘任文件应当告知其岗位职责。</w:t>
      </w:r>
    </w:p>
    <w:p w14:paraId="4C038B02">
      <w:pPr>
        <w:keepNext w:val="0"/>
        <w:keepLines w:val="0"/>
        <w:pageBreakBefore w:val="0"/>
        <w:widowControl w:val="0"/>
        <w:kinsoku/>
        <w:wordWrap w:val="0"/>
        <w:overflowPunct/>
        <w:topLinePunct w:val="0"/>
        <w:autoSpaceDE/>
        <w:autoSpaceDN/>
        <w:bidi w:val="0"/>
        <w:adjustRightInd/>
        <w:snapToGrid/>
        <w:spacing w:before="39" w:after="0" w:line="360" w:lineRule="auto"/>
        <w:ind w:left="60" w:right="120" w:firstLine="5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接受任命的伦理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委员应参加GCP、临床研究伦理审查以及临床研究方法学方面的初始培训和继续教育；提交本人简历、资质证明文件，GCP与伦理审查培训证书；同意并签署利益冲突声明，保密承诺，并同意公开自己的姓名、职业和隶属机构，同意公开与参加伦理审查工作相关的交通、劳务等补偿。</w:t>
      </w:r>
    </w:p>
    <w:p w14:paraId="6FB28A29">
      <w:pPr>
        <w:keepNext w:val="0"/>
        <w:keepLines w:val="0"/>
        <w:pageBreakBefore w:val="0"/>
        <w:widowControl w:val="0"/>
        <w:kinsoku/>
        <w:wordWrap w:val="0"/>
        <w:overflowPunct/>
        <w:topLinePunct w:val="0"/>
        <w:autoSpaceDE/>
        <w:autoSpaceDN/>
        <w:bidi w:val="0"/>
        <w:adjustRightInd/>
        <w:snapToGrid/>
        <w:spacing w:before="39" w:after="0" w:line="360" w:lineRule="auto"/>
        <w:ind w:left="60" w:right="120" w:firstLine="50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首次聘任的委员和秘书应当经过岗前培训，经考核合格后上岗。</w:t>
      </w:r>
    </w:p>
    <w:p w14:paraId="2621348B">
      <w:pPr>
        <w:keepNext w:val="0"/>
        <w:keepLines w:val="0"/>
        <w:pageBreakBefore w:val="0"/>
        <w:widowControl w:val="0"/>
        <w:kinsoku/>
        <w:wordWrap w:val="0"/>
        <w:overflowPunct/>
        <w:topLinePunct w:val="0"/>
        <w:autoSpaceDE/>
        <w:autoSpaceDN/>
        <w:bidi w:val="0"/>
        <w:adjustRightInd/>
        <w:snapToGrid/>
        <w:spacing w:before="39" w:after="0" w:line="360" w:lineRule="auto"/>
        <w:ind w:left="60" w:right="120" w:firstLine="50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第</w:t>
      </w:r>
      <w:r>
        <w:rPr>
          <w:rFonts w:hint="eastAsia" w:ascii="宋体" w:hAnsi="宋体" w:eastAsia="宋体" w:cs="宋体"/>
          <w:color w:val="000000"/>
          <w:sz w:val="24"/>
          <w:szCs w:val="24"/>
          <w:lang w:val="en-US" w:eastAsia="zh-CN"/>
        </w:rPr>
        <w:t>十二</w:t>
      </w:r>
      <w:r>
        <w:rPr>
          <w:rFonts w:hint="eastAsia" w:ascii="宋体" w:hAnsi="宋体" w:eastAsia="宋体" w:cs="宋体"/>
          <w:color w:val="000000"/>
          <w:sz w:val="24"/>
          <w:szCs w:val="24"/>
        </w:rPr>
        <w:t>条 伦理</w:t>
      </w:r>
      <w:r>
        <w:rPr>
          <w:rFonts w:hint="eastAsia" w:ascii="宋体" w:hAnsi="宋体" w:eastAsia="宋体" w:cs="宋体"/>
          <w:color w:val="000000"/>
          <w:sz w:val="24"/>
          <w:szCs w:val="24"/>
          <w:lang w:val="en-US" w:eastAsia="zh-CN"/>
        </w:rPr>
        <w:t>审查</w:t>
      </w:r>
      <w:r>
        <w:rPr>
          <w:rFonts w:hint="eastAsia" w:ascii="宋体" w:hAnsi="宋体" w:eastAsia="宋体" w:cs="宋体"/>
          <w:color w:val="000000"/>
          <w:sz w:val="24"/>
          <w:szCs w:val="24"/>
        </w:rPr>
        <w:t>委员会备案：医院应当在伦理</w:t>
      </w:r>
      <w:r>
        <w:rPr>
          <w:rFonts w:hint="eastAsia" w:ascii="宋体" w:hAnsi="宋体" w:eastAsia="宋体" w:cs="宋体"/>
          <w:color w:val="000000"/>
          <w:sz w:val="24"/>
          <w:szCs w:val="24"/>
          <w:lang w:val="en-US" w:eastAsia="zh-CN"/>
        </w:rPr>
        <w:t>审查</w:t>
      </w:r>
      <w:r>
        <w:rPr>
          <w:rFonts w:hint="eastAsia" w:ascii="宋体" w:hAnsi="宋体" w:eastAsia="宋体" w:cs="宋体"/>
          <w:color w:val="000000"/>
          <w:sz w:val="24"/>
          <w:szCs w:val="24"/>
        </w:rPr>
        <w:t>委员会设立之日起3个月内向其执业登记机关或上级主管部门备案，并在医学研究登记备案信息系统上传信息。</w:t>
      </w:r>
    </w:p>
    <w:p w14:paraId="4ED59EF7">
      <w:pPr>
        <w:keepNext w:val="0"/>
        <w:keepLines w:val="0"/>
        <w:pageBreakBefore w:val="0"/>
        <w:widowControl w:val="0"/>
        <w:kinsoku/>
        <w:wordWrap w:val="0"/>
        <w:overflowPunct/>
        <w:topLinePunct w:val="0"/>
        <w:autoSpaceDE/>
        <w:autoSpaceDN/>
        <w:bidi w:val="0"/>
        <w:adjustRightInd/>
        <w:snapToGrid/>
        <w:spacing w:before="69" w:after="0" w:line="360" w:lineRule="auto"/>
        <w:ind w:left="60" w:right="120" w:firstLine="50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医院应当公开伦理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委员会的组织信息：伦理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委员会的组织架构，伦理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委员会的审查范围；委员的姓名、性别、职业、工作单位、伦理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委员会的职务、伦理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委员会的联系方式。</w:t>
      </w:r>
    </w:p>
    <w:p w14:paraId="7750B6A0">
      <w:pPr>
        <w:keepNext w:val="0"/>
        <w:keepLines w:val="0"/>
        <w:pageBreakBefore w:val="0"/>
        <w:widowControl w:val="0"/>
        <w:kinsoku/>
        <w:wordWrap w:val="0"/>
        <w:overflowPunct/>
        <w:topLinePunct w:val="0"/>
        <w:autoSpaceDE/>
        <w:autoSpaceDN/>
        <w:bidi w:val="0"/>
        <w:adjustRightInd/>
        <w:snapToGrid/>
        <w:spacing w:before="169" w:after="0" w:line="360" w:lineRule="auto"/>
        <w:ind w:firstLine="56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第十</w:t>
      </w:r>
      <w:r>
        <w:rPr>
          <w:rFonts w:hint="eastAsia" w:ascii="宋体" w:hAnsi="宋体" w:eastAsia="宋体" w:cs="宋体"/>
          <w:color w:val="000000"/>
          <w:sz w:val="24"/>
          <w:szCs w:val="24"/>
          <w:lang w:val="en-US" w:eastAsia="zh-CN"/>
        </w:rPr>
        <w:t>三</w:t>
      </w:r>
      <w:r>
        <w:rPr>
          <w:rFonts w:hint="eastAsia" w:ascii="宋体" w:hAnsi="宋体" w:eastAsia="宋体" w:cs="宋体"/>
          <w:color w:val="000000"/>
          <w:sz w:val="24"/>
          <w:szCs w:val="24"/>
        </w:rPr>
        <w:t>条 委员任期：伦理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委员会每届任期3年，可以连任。</w:t>
      </w:r>
    </w:p>
    <w:p w14:paraId="44FD7207">
      <w:pPr>
        <w:keepNext w:val="0"/>
        <w:keepLines w:val="0"/>
        <w:pageBreakBefore w:val="0"/>
        <w:widowControl w:val="0"/>
        <w:kinsoku/>
        <w:wordWrap w:val="0"/>
        <w:overflowPunct/>
        <w:topLinePunct w:val="0"/>
        <w:autoSpaceDE/>
        <w:autoSpaceDN/>
        <w:bidi w:val="0"/>
        <w:adjustRightInd/>
        <w:snapToGrid/>
        <w:spacing w:before="0" w:after="0" w:line="360" w:lineRule="auto"/>
        <w:ind w:firstLine="525" w:firstLineChars="219"/>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第十</w:t>
      </w:r>
      <w:r>
        <w:rPr>
          <w:rFonts w:hint="eastAsia" w:ascii="宋体" w:hAnsi="宋体" w:eastAsia="宋体" w:cs="宋体"/>
          <w:color w:val="000000"/>
          <w:sz w:val="24"/>
          <w:szCs w:val="24"/>
          <w:lang w:val="en-US" w:eastAsia="zh-CN"/>
        </w:rPr>
        <w:t>四</w:t>
      </w:r>
      <w:r>
        <w:rPr>
          <w:rFonts w:hint="eastAsia" w:ascii="宋体" w:hAnsi="宋体" w:eastAsia="宋体" w:cs="宋体"/>
          <w:color w:val="000000"/>
          <w:sz w:val="24"/>
          <w:szCs w:val="24"/>
        </w:rPr>
        <w:t>条 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委员会换届：伦理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委员会的换届应当考虑审查能力的发展和工作的连续性。</w:t>
      </w:r>
      <w:r>
        <w:rPr>
          <w:rFonts w:hint="eastAsia" w:ascii="宋体" w:hAnsi="宋体" w:eastAsia="宋体" w:cs="宋体"/>
          <w:color w:val="000000"/>
          <w:sz w:val="24"/>
          <w:szCs w:val="24"/>
          <w:lang w:val="en-US" w:eastAsia="zh-CN"/>
        </w:rPr>
        <w:t>换届的</w:t>
      </w:r>
      <w:r>
        <w:rPr>
          <w:rFonts w:hint="eastAsia" w:ascii="宋体" w:hAnsi="宋体" w:eastAsia="宋体" w:cs="宋体"/>
          <w:color w:val="000000"/>
          <w:sz w:val="24"/>
          <w:szCs w:val="24"/>
        </w:rPr>
        <w:t>医药专业委员不少于1／2；应有部分委员留任，以保证伦理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委员会工作的连续性。换届候选委员采用公开招募、有关各方和委员推荐的方式产生，医院院长办公会任命。</w:t>
      </w:r>
    </w:p>
    <w:p w14:paraId="4A812F74">
      <w:pPr>
        <w:keepNext w:val="0"/>
        <w:keepLines w:val="0"/>
        <w:pageBreakBefore w:val="0"/>
        <w:widowControl w:val="0"/>
        <w:kinsoku/>
        <w:wordWrap w:val="0"/>
        <w:overflowPunct/>
        <w:topLinePunct w:val="0"/>
        <w:autoSpaceDE/>
        <w:autoSpaceDN/>
        <w:bidi w:val="0"/>
        <w:adjustRightInd/>
        <w:snapToGrid/>
        <w:spacing w:before="7" w:after="0" w:line="360" w:lineRule="auto"/>
        <w:ind w:left="40" w:right="120" w:firstLine="50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第十</w:t>
      </w:r>
      <w:r>
        <w:rPr>
          <w:rFonts w:hint="eastAsia" w:ascii="宋体" w:hAnsi="宋体" w:eastAsia="宋体" w:cs="宋体"/>
          <w:color w:val="000000"/>
          <w:sz w:val="24"/>
          <w:szCs w:val="24"/>
          <w:lang w:val="en-US" w:eastAsia="zh-CN"/>
        </w:rPr>
        <w:t>五</w:t>
      </w:r>
      <w:r>
        <w:rPr>
          <w:rFonts w:hint="eastAsia" w:ascii="宋体" w:hAnsi="宋体" w:eastAsia="宋体" w:cs="宋体"/>
          <w:color w:val="000000"/>
          <w:sz w:val="24"/>
          <w:szCs w:val="24"/>
        </w:rPr>
        <w:t>条 委员辞职：委员因健康、工作调离或者其他个人原因不能继续履行委员的职责应当书面申请辞去委员职务。</w:t>
      </w:r>
    </w:p>
    <w:p w14:paraId="2DBC5D78">
      <w:pPr>
        <w:keepNext w:val="0"/>
        <w:keepLines w:val="0"/>
        <w:pageBreakBefore w:val="0"/>
        <w:widowControl w:val="0"/>
        <w:kinsoku/>
        <w:wordWrap w:val="0"/>
        <w:overflowPunct/>
        <w:topLinePunct w:val="0"/>
        <w:autoSpaceDE/>
        <w:autoSpaceDN/>
        <w:bidi w:val="0"/>
        <w:adjustRightInd/>
        <w:snapToGrid/>
        <w:spacing w:before="0" w:after="0" w:line="360" w:lineRule="auto"/>
        <w:ind w:left="40" w:right="120" w:firstLine="50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第十</w:t>
      </w:r>
      <w:r>
        <w:rPr>
          <w:rFonts w:hint="eastAsia" w:ascii="宋体" w:hAnsi="宋体" w:eastAsia="宋体" w:cs="宋体"/>
          <w:color w:val="000000"/>
          <w:sz w:val="24"/>
          <w:szCs w:val="24"/>
          <w:lang w:val="en-US" w:eastAsia="zh-CN"/>
        </w:rPr>
        <w:t>六</w:t>
      </w:r>
      <w:r>
        <w:rPr>
          <w:rFonts w:hint="eastAsia" w:ascii="宋体" w:hAnsi="宋体" w:eastAsia="宋体" w:cs="宋体"/>
          <w:color w:val="000000"/>
          <w:sz w:val="24"/>
          <w:szCs w:val="24"/>
        </w:rPr>
        <w:t>条 委员免职：医院负责伦理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委员的免职事项。以下情况可以免去委员资格：因各种原因缺席半数以上的年度伦理审查会议者；因道德行为规范与委员职责相违背，不适合继续担任委员者。免职由医院院长办公会讨论决定，同意免职的票数应当超过院长办公会全体组成人员的半数。免职决定以医院正式书面文件的方式发布。</w:t>
      </w:r>
    </w:p>
    <w:p w14:paraId="0C4F5F3C">
      <w:pPr>
        <w:keepNext w:val="0"/>
        <w:keepLines w:val="0"/>
        <w:pageBreakBefore w:val="0"/>
        <w:widowControl w:val="0"/>
        <w:kinsoku/>
        <w:wordWrap w:val="0"/>
        <w:overflowPunct/>
        <w:topLinePunct w:val="0"/>
        <w:autoSpaceDE/>
        <w:autoSpaceDN/>
        <w:bidi w:val="0"/>
        <w:adjustRightInd/>
        <w:snapToGrid/>
        <w:spacing w:before="0" w:after="0" w:line="360" w:lineRule="auto"/>
        <w:ind w:left="40" w:right="120" w:firstLine="50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第十</w:t>
      </w:r>
      <w:r>
        <w:rPr>
          <w:rFonts w:hint="eastAsia" w:ascii="宋体" w:hAnsi="宋体" w:eastAsia="宋体" w:cs="宋体"/>
          <w:color w:val="000000"/>
          <w:sz w:val="24"/>
          <w:szCs w:val="24"/>
          <w:lang w:val="en-US" w:eastAsia="zh-CN"/>
        </w:rPr>
        <w:t>七</w:t>
      </w:r>
      <w:r>
        <w:rPr>
          <w:rFonts w:hint="eastAsia" w:ascii="宋体" w:hAnsi="宋体" w:eastAsia="宋体" w:cs="宋体"/>
          <w:color w:val="000000"/>
          <w:sz w:val="24"/>
          <w:szCs w:val="24"/>
        </w:rPr>
        <w:t>条 委员替换：因委员辞职或免职，可以启动委员替换程序。根据资格相当的原则招募／推荐候选的替换委员。替换委员由医院院长办公会讨论决定，同意票应当超过院长办公会全体组成人员的半数。当选的替换委员以医院正式书面文件的方式任命。</w:t>
      </w:r>
    </w:p>
    <w:p w14:paraId="1542A19E">
      <w:pPr>
        <w:keepNext w:val="0"/>
        <w:keepLines w:val="0"/>
        <w:pageBreakBefore w:val="0"/>
        <w:widowControl w:val="0"/>
        <w:kinsoku/>
        <w:wordWrap w:val="0"/>
        <w:overflowPunct/>
        <w:topLinePunct w:val="0"/>
        <w:autoSpaceDE/>
        <w:autoSpaceDN/>
        <w:bidi w:val="0"/>
        <w:adjustRightInd/>
        <w:snapToGrid/>
        <w:spacing w:before="0" w:after="0" w:line="360" w:lineRule="auto"/>
        <w:ind w:left="40" w:right="120" w:firstLine="500"/>
        <w:jc w:val="both"/>
        <w:textAlignment w:val="auto"/>
        <w:rPr>
          <w:rFonts w:hint="eastAsia" w:ascii="宋体" w:hAnsi="宋体" w:eastAsia="宋体" w:cs="宋体"/>
          <w:sz w:val="24"/>
          <w:szCs w:val="24"/>
        </w:rPr>
      </w:pPr>
      <w:r>
        <w:rPr>
          <w:rFonts w:hint="eastAsia" w:ascii="宋体" w:hAnsi="宋体" w:eastAsia="宋体" w:cs="宋体"/>
          <w:b w:val="0"/>
          <w:bCs/>
          <w:color w:val="000000"/>
          <w:sz w:val="24"/>
          <w:szCs w:val="24"/>
          <w:lang w:val="en-US" w:eastAsia="zh-CN"/>
        </w:rPr>
        <w:t>第十八条</w:t>
      </w:r>
      <w:r>
        <w:rPr>
          <w:rFonts w:hint="eastAsia" w:ascii="宋体" w:hAnsi="宋体" w:eastAsia="宋体" w:cs="宋体"/>
          <w:color w:val="000000"/>
          <w:sz w:val="24"/>
          <w:szCs w:val="24"/>
        </w:rPr>
        <w:t xml:space="preserve"> 独立顾问：如果委员专业知识不能胜任某临床研究项目的审查，或某临床研究项目的受试者与委员的社会与文化背景明显不同时，可以聘请独立顾问。</w:t>
      </w:r>
      <w:r>
        <w:rPr>
          <w:rFonts w:hint="eastAsia" w:ascii="宋体" w:hAnsi="宋体" w:eastAsia="宋体" w:cs="宋体"/>
          <w:color w:val="000000"/>
          <w:sz w:val="24"/>
          <w:szCs w:val="24"/>
          <w:lang w:val="en-US" w:eastAsia="zh-CN"/>
        </w:rPr>
        <w:t>独立顾问的聘任采取一事一聘的形式。</w:t>
      </w:r>
      <w:r>
        <w:rPr>
          <w:rFonts w:hint="eastAsia" w:ascii="宋体" w:hAnsi="宋体" w:eastAsia="宋体" w:cs="宋体"/>
          <w:color w:val="000000"/>
          <w:sz w:val="24"/>
          <w:szCs w:val="24"/>
        </w:rPr>
        <w:t>独立顾问应提交本人履历、资质证明文件，签署保密承诺与利益冲突声明。独立顾问应邀对临床研究项目的某方面问题提供咨询意见，但不具有表决权。</w:t>
      </w:r>
    </w:p>
    <w:p w14:paraId="2BC89DD9">
      <w:pPr>
        <w:keepNext w:val="0"/>
        <w:keepLines w:val="0"/>
        <w:pageBreakBefore w:val="0"/>
        <w:widowControl w:val="0"/>
        <w:kinsoku/>
        <w:wordWrap w:val="0"/>
        <w:overflowPunct/>
        <w:topLinePunct w:val="0"/>
        <w:autoSpaceDE/>
        <w:autoSpaceDN/>
        <w:bidi w:val="0"/>
        <w:adjustRightInd/>
        <w:snapToGrid/>
        <w:spacing w:before="0" w:after="0" w:line="360" w:lineRule="auto"/>
        <w:ind w:left="40" w:right="120" w:firstLine="5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第十</w:t>
      </w:r>
      <w:r>
        <w:rPr>
          <w:rFonts w:hint="eastAsia" w:ascii="宋体" w:hAnsi="宋体" w:eastAsia="宋体" w:cs="宋体"/>
          <w:color w:val="000000"/>
          <w:sz w:val="24"/>
          <w:szCs w:val="24"/>
          <w:lang w:val="en-US" w:eastAsia="zh-CN"/>
        </w:rPr>
        <w:t>九</w:t>
      </w:r>
      <w:r>
        <w:rPr>
          <w:rFonts w:hint="eastAsia" w:ascii="宋体" w:hAnsi="宋体" w:eastAsia="宋体" w:cs="宋体"/>
          <w:color w:val="000000"/>
          <w:sz w:val="24"/>
          <w:szCs w:val="24"/>
        </w:rPr>
        <w:t>条 考核：医院</w:t>
      </w:r>
      <w:r>
        <w:rPr>
          <w:rFonts w:hint="eastAsia" w:ascii="宋体" w:hAnsi="宋体" w:cs="宋体"/>
          <w:color w:val="000000"/>
          <w:sz w:val="24"/>
          <w:szCs w:val="24"/>
          <w:lang w:val="en-US" w:eastAsia="zh-CN"/>
        </w:rPr>
        <w:t>医教科</w:t>
      </w:r>
      <w:r>
        <w:rPr>
          <w:rFonts w:hint="eastAsia" w:ascii="宋体" w:hAnsi="宋体" w:eastAsia="宋体" w:cs="宋体"/>
          <w:color w:val="000000"/>
          <w:sz w:val="24"/>
          <w:szCs w:val="24"/>
        </w:rPr>
        <w:t>科负责组织对伦理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委员会委员、主任委员、副主任委员、秘书履职能力的年度考核。医院定期评估伦理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委员会的成员与组成，必要时加以调整，以保证伦理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委员会能够胜任伦理审查的职责。</w:t>
      </w:r>
    </w:p>
    <w:p w14:paraId="44973B5C">
      <w:pPr>
        <w:keepNext w:val="0"/>
        <w:keepLines w:val="0"/>
        <w:pageBreakBefore w:val="0"/>
        <w:widowControl w:val="0"/>
        <w:kinsoku/>
        <w:wordWrap w:val="0"/>
        <w:overflowPunct/>
        <w:topLinePunct w:val="0"/>
        <w:autoSpaceDE/>
        <w:autoSpaceDN/>
        <w:bidi w:val="0"/>
        <w:adjustRightInd/>
        <w:snapToGrid/>
        <w:spacing w:before="0" w:after="0" w:line="360" w:lineRule="auto"/>
        <w:ind w:left="40" w:right="120" w:firstLine="500"/>
        <w:jc w:val="both"/>
        <w:textAlignment w:val="auto"/>
        <w:rPr>
          <w:rFonts w:hint="eastAsia" w:ascii="宋体" w:hAnsi="宋体" w:eastAsia="宋体" w:cs="宋体"/>
          <w:color w:val="000000"/>
          <w:sz w:val="24"/>
          <w:szCs w:val="24"/>
        </w:rPr>
      </w:pPr>
    </w:p>
    <w:p w14:paraId="0815B4C8">
      <w:pPr>
        <w:keepNext w:val="0"/>
        <w:keepLines w:val="0"/>
        <w:pageBreakBefore w:val="0"/>
        <w:widowControl w:val="0"/>
        <w:kinsoku/>
        <w:wordWrap w:val="0"/>
        <w:overflowPunct/>
        <w:topLinePunct w:val="0"/>
        <w:autoSpaceDE/>
        <w:autoSpaceDN/>
        <w:bidi w:val="0"/>
        <w:adjustRightInd/>
        <w:snapToGrid/>
        <w:spacing w:before="116" w:after="0" w:line="360" w:lineRule="auto"/>
        <w:jc w:val="center"/>
        <w:textAlignment w:val="auto"/>
        <w:rPr>
          <w:rFonts w:hint="eastAsia" w:ascii="宋体" w:hAnsi="宋体" w:eastAsia="宋体" w:cs="宋体"/>
          <w:sz w:val="24"/>
          <w:szCs w:val="24"/>
        </w:rPr>
      </w:pPr>
      <w:r>
        <w:rPr>
          <w:rFonts w:hint="eastAsia" w:ascii="宋体" w:hAnsi="宋体" w:eastAsia="宋体" w:cs="宋体"/>
          <w:b/>
          <w:color w:val="000000"/>
          <w:sz w:val="24"/>
          <w:szCs w:val="24"/>
        </w:rPr>
        <w:t>第三章 伦理</w:t>
      </w:r>
      <w:r>
        <w:rPr>
          <w:rFonts w:hint="eastAsia" w:ascii="宋体" w:hAnsi="宋体" w:eastAsia="宋体" w:cs="宋体"/>
          <w:b/>
          <w:color w:val="000000"/>
          <w:sz w:val="24"/>
          <w:szCs w:val="24"/>
          <w:lang w:val="en-US" w:eastAsia="zh-CN"/>
        </w:rPr>
        <w:t>审查</w:t>
      </w:r>
      <w:r>
        <w:rPr>
          <w:rFonts w:hint="eastAsia" w:ascii="宋体" w:hAnsi="宋体" w:eastAsia="宋体" w:cs="宋体"/>
          <w:b/>
          <w:color w:val="000000"/>
          <w:sz w:val="24"/>
          <w:szCs w:val="24"/>
        </w:rPr>
        <w:t>委员会的权利</w:t>
      </w:r>
    </w:p>
    <w:p w14:paraId="0F4135C3">
      <w:pPr>
        <w:keepNext w:val="0"/>
        <w:keepLines w:val="0"/>
        <w:pageBreakBefore w:val="0"/>
        <w:widowControl w:val="0"/>
        <w:kinsoku/>
        <w:wordWrap w:val="0"/>
        <w:overflowPunct/>
        <w:topLinePunct w:val="0"/>
        <w:autoSpaceDE/>
        <w:autoSpaceDN/>
        <w:bidi w:val="0"/>
        <w:adjustRightInd/>
        <w:snapToGrid/>
        <w:spacing w:before="0" w:after="0" w:line="360" w:lineRule="auto"/>
        <w:ind w:left="40" w:right="120" w:firstLine="50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第</w:t>
      </w:r>
      <w:r>
        <w:rPr>
          <w:rFonts w:hint="eastAsia" w:ascii="宋体" w:hAnsi="宋体" w:eastAsia="宋体" w:cs="宋体"/>
          <w:color w:val="000000"/>
          <w:sz w:val="24"/>
          <w:szCs w:val="24"/>
          <w:lang w:val="en-US" w:eastAsia="zh-CN"/>
        </w:rPr>
        <w:t>二十</w:t>
      </w:r>
      <w:r>
        <w:rPr>
          <w:rFonts w:hint="eastAsia" w:ascii="宋体" w:hAnsi="宋体" w:eastAsia="宋体" w:cs="宋体"/>
          <w:color w:val="000000"/>
          <w:sz w:val="24"/>
          <w:szCs w:val="24"/>
        </w:rPr>
        <w:t>条 权利：医院授予伦理</w:t>
      </w:r>
      <w:r>
        <w:rPr>
          <w:rFonts w:hint="eastAsia" w:ascii="宋体" w:hAnsi="宋体" w:eastAsia="宋体" w:cs="宋体"/>
          <w:color w:val="000000"/>
          <w:sz w:val="24"/>
          <w:szCs w:val="24"/>
          <w:lang w:val="en-US" w:eastAsia="zh-CN"/>
        </w:rPr>
        <w:t>审查</w:t>
      </w:r>
      <w:r>
        <w:rPr>
          <w:rFonts w:hint="eastAsia" w:ascii="宋体" w:hAnsi="宋体" w:eastAsia="宋体" w:cs="宋体"/>
          <w:color w:val="000000"/>
          <w:sz w:val="24"/>
          <w:szCs w:val="24"/>
        </w:rPr>
        <w:t>委员会独立审查的职能和权利。伦理</w:t>
      </w:r>
      <w:r>
        <w:rPr>
          <w:rFonts w:hint="eastAsia" w:ascii="宋体" w:hAnsi="宋体" w:eastAsia="宋体" w:cs="宋体"/>
          <w:color w:val="000000"/>
          <w:sz w:val="24"/>
          <w:szCs w:val="24"/>
          <w:lang w:val="en-US" w:eastAsia="zh-CN"/>
        </w:rPr>
        <w:t>审查</w:t>
      </w:r>
      <w:r>
        <w:rPr>
          <w:rFonts w:hint="eastAsia" w:ascii="宋体" w:hAnsi="宋体" w:eastAsia="宋体" w:cs="宋体"/>
          <w:color w:val="000000"/>
          <w:sz w:val="24"/>
          <w:szCs w:val="24"/>
        </w:rPr>
        <w:t>委员会的审查独立于被审查项目的研究者和申办者，并不受其他任何不当的影响。为确保伦理</w:t>
      </w:r>
      <w:r>
        <w:rPr>
          <w:rFonts w:hint="eastAsia" w:ascii="宋体" w:hAnsi="宋体" w:eastAsia="宋体" w:cs="宋体"/>
          <w:color w:val="000000"/>
          <w:sz w:val="24"/>
          <w:szCs w:val="24"/>
          <w:lang w:val="en-US" w:eastAsia="zh-CN"/>
        </w:rPr>
        <w:t>审查</w:t>
      </w:r>
      <w:r>
        <w:rPr>
          <w:rFonts w:hint="eastAsia" w:ascii="宋体" w:hAnsi="宋体" w:eastAsia="宋体" w:cs="宋体"/>
          <w:color w:val="000000"/>
          <w:sz w:val="24"/>
          <w:szCs w:val="24"/>
        </w:rPr>
        <w:t>委员会的审查职能独立于医院的其他部门，医院授予伦理</w:t>
      </w:r>
      <w:r>
        <w:rPr>
          <w:rFonts w:hint="eastAsia" w:ascii="宋体" w:hAnsi="宋体" w:eastAsia="宋体" w:cs="宋体"/>
          <w:color w:val="000000"/>
          <w:sz w:val="24"/>
          <w:szCs w:val="24"/>
          <w:lang w:val="en-US" w:eastAsia="zh-CN"/>
        </w:rPr>
        <w:t>审查</w:t>
      </w:r>
      <w:r>
        <w:rPr>
          <w:rFonts w:hint="eastAsia" w:ascii="宋体" w:hAnsi="宋体" w:eastAsia="宋体" w:cs="宋体"/>
          <w:color w:val="000000"/>
          <w:sz w:val="24"/>
          <w:szCs w:val="24"/>
        </w:rPr>
        <w:t>委员会以下权利：同意，必要的修改后同意，不同意，终止或者暂停已同意的研究。</w:t>
      </w:r>
    </w:p>
    <w:p w14:paraId="3550048E">
      <w:pPr>
        <w:keepNext w:val="0"/>
        <w:keepLines w:val="0"/>
        <w:pageBreakBefore w:val="0"/>
        <w:widowControl w:val="0"/>
        <w:kinsoku/>
        <w:wordWrap w:val="0"/>
        <w:overflowPunct/>
        <w:topLinePunct w:val="0"/>
        <w:autoSpaceDE/>
        <w:autoSpaceDN/>
        <w:bidi w:val="0"/>
        <w:adjustRightInd/>
        <w:snapToGrid/>
        <w:spacing w:before="21" w:after="0" w:line="360" w:lineRule="auto"/>
        <w:ind w:left="40" w:right="120" w:firstLine="500"/>
        <w:jc w:val="both"/>
        <w:textAlignment w:val="auto"/>
        <w:rPr>
          <w:rFonts w:hint="eastAsia" w:ascii="宋体" w:hAnsi="宋体" w:eastAsia="宋体" w:cs="宋体"/>
          <w:color w:val="000000"/>
          <w:sz w:val="24"/>
          <w:szCs w:val="24"/>
        </w:rPr>
        <w:sectPr>
          <w:headerReference r:id="rId7" w:type="default"/>
          <w:footerReference r:id="rId8" w:type="default"/>
          <w:pgSz w:w="11900" w:h="16380"/>
          <w:pgMar w:top="1417" w:right="1417" w:bottom="1417" w:left="1417" w:header="850" w:footer="850" w:gutter="0"/>
          <w:pgNumType w:fmt="decimal" w:start="1"/>
          <w:cols w:space="720" w:num="1"/>
        </w:sectPr>
      </w:pPr>
      <w:r>
        <w:rPr>
          <w:rFonts w:hint="eastAsia" w:ascii="宋体" w:hAnsi="宋体" w:eastAsia="宋体" w:cs="宋体"/>
          <w:b w:val="0"/>
          <w:bCs/>
          <w:color w:val="000000"/>
          <w:sz w:val="24"/>
          <w:szCs w:val="24"/>
        </w:rPr>
        <w:t>第</w:t>
      </w:r>
      <w:r>
        <w:rPr>
          <w:rFonts w:hint="eastAsia" w:ascii="宋体" w:hAnsi="宋体" w:eastAsia="宋体" w:cs="宋体"/>
          <w:b w:val="0"/>
          <w:bCs/>
          <w:color w:val="000000"/>
          <w:sz w:val="24"/>
          <w:szCs w:val="24"/>
          <w:lang w:val="en-US" w:eastAsia="zh-CN"/>
        </w:rPr>
        <w:t>二十一</w:t>
      </w:r>
      <w:r>
        <w:rPr>
          <w:rFonts w:hint="eastAsia" w:ascii="宋体" w:hAnsi="宋体" w:eastAsia="宋体" w:cs="宋体"/>
          <w:b w:val="0"/>
          <w:bCs/>
          <w:color w:val="000000"/>
          <w:sz w:val="24"/>
          <w:szCs w:val="24"/>
        </w:rPr>
        <w:t>条</w:t>
      </w:r>
      <w:r>
        <w:rPr>
          <w:rFonts w:hint="eastAsia" w:ascii="宋体" w:hAnsi="宋体" w:eastAsia="宋体" w:cs="宋体"/>
          <w:color w:val="000000"/>
          <w:sz w:val="24"/>
          <w:szCs w:val="24"/>
        </w:rPr>
        <w:t xml:space="preserve"> 独立审查权利的保证：医院临床试验项目管理的部门和领导可以按程序不批准、终止或者暂停伦理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委员会已经审查同意的研究项目，但是不得批准实施未经伦理审查同意的研究项目。</w:t>
      </w:r>
    </w:p>
    <w:p w14:paraId="6A486F47">
      <w:pPr>
        <w:keepNext w:val="0"/>
        <w:keepLines w:val="0"/>
        <w:pageBreakBefore w:val="0"/>
        <w:widowControl w:val="0"/>
        <w:kinsoku/>
        <w:wordWrap w:val="0"/>
        <w:overflowPunct/>
        <w:topLinePunct w:val="0"/>
        <w:autoSpaceDE/>
        <w:autoSpaceDN/>
        <w:bidi w:val="0"/>
        <w:adjustRightInd/>
        <w:snapToGrid/>
        <w:spacing w:before="0" w:after="0" w:line="360" w:lineRule="auto"/>
        <w:jc w:val="center"/>
        <w:textAlignment w:val="auto"/>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第四章 伦理审查委员会的资源</w:t>
      </w:r>
    </w:p>
    <w:p w14:paraId="05CFDB41">
      <w:pPr>
        <w:keepNext w:val="0"/>
        <w:keepLines w:val="0"/>
        <w:pageBreakBefore w:val="0"/>
        <w:widowControl w:val="0"/>
        <w:kinsoku/>
        <w:wordWrap w:val="0"/>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rPr>
        <w:t>第二十二条 管理资源：医院为伦理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lang w:val="en-US" w:eastAsia="zh-CN"/>
        </w:rPr>
        <w:t>委员会配备胜任的、足够人数的秘书，提供所</w:t>
      </w:r>
      <w:r>
        <w:rPr>
          <w:rFonts w:hint="eastAsia" w:ascii="宋体" w:hAnsi="宋体" w:eastAsia="宋体" w:cs="宋体"/>
          <w:color w:val="000000"/>
          <w:sz w:val="24"/>
          <w:szCs w:val="24"/>
        </w:rPr>
        <w:t>需的办公设备，可利用的档案室和会议室。</w:t>
      </w:r>
    </w:p>
    <w:p w14:paraId="62B5EC99">
      <w:pPr>
        <w:keepNext w:val="0"/>
        <w:keepLines w:val="0"/>
        <w:pageBreakBefore w:val="0"/>
        <w:widowControl w:val="0"/>
        <w:kinsoku/>
        <w:wordWrap w:val="0"/>
        <w:overflowPunct/>
        <w:topLinePunct w:val="0"/>
        <w:autoSpaceDE/>
        <w:autoSpaceDN/>
        <w:bidi w:val="0"/>
        <w:adjustRightInd/>
        <w:snapToGrid/>
        <w:spacing w:before="0" w:after="0" w:line="360" w:lineRule="auto"/>
        <w:ind w:left="60" w:right="320" w:firstLine="540"/>
        <w:jc w:val="both"/>
        <w:textAlignment w:val="auto"/>
        <w:rPr>
          <w:rFonts w:hint="eastAsia" w:ascii="宋体" w:hAnsi="宋体" w:eastAsia="宋体" w:cs="宋体"/>
          <w:sz w:val="24"/>
          <w:szCs w:val="24"/>
        </w:rPr>
      </w:pPr>
      <w:r>
        <w:rPr>
          <w:rFonts w:hint="eastAsia" w:ascii="宋体" w:hAnsi="宋体" w:eastAsia="宋体" w:cs="宋体"/>
          <w:b w:val="0"/>
          <w:bCs/>
          <w:color w:val="000000"/>
          <w:sz w:val="24"/>
          <w:szCs w:val="24"/>
        </w:rPr>
        <w:t>第二十</w:t>
      </w:r>
      <w:r>
        <w:rPr>
          <w:rFonts w:hint="eastAsia" w:ascii="宋体" w:hAnsi="宋体" w:eastAsia="宋体" w:cs="宋体"/>
          <w:b w:val="0"/>
          <w:bCs/>
          <w:color w:val="000000"/>
          <w:sz w:val="24"/>
          <w:szCs w:val="24"/>
          <w:lang w:val="en-US" w:eastAsia="zh-CN"/>
        </w:rPr>
        <w:t>三</w:t>
      </w:r>
      <w:r>
        <w:rPr>
          <w:rFonts w:hint="eastAsia" w:ascii="宋体" w:hAnsi="宋体" w:eastAsia="宋体" w:cs="宋体"/>
          <w:b w:val="0"/>
          <w:bCs/>
          <w:color w:val="000000"/>
          <w:sz w:val="24"/>
          <w:szCs w:val="24"/>
        </w:rPr>
        <w:t>条</w:t>
      </w:r>
      <w:r>
        <w:rPr>
          <w:rFonts w:hint="eastAsia" w:ascii="宋体" w:hAnsi="宋体" w:eastAsia="宋体" w:cs="宋体"/>
          <w:color w:val="000000"/>
          <w:sz w:val="24"/>
          <w:szCs w:val="24"/>
        </w:rPr>
        <w:t xml:space="preserve"> 培训资源：医院为委员、主任委员、副主任委员、秘书提供充分的培训机会和时间，使其能够胜任其岗位职责。</w:t>
      </w:r>
    </w:p>
    <w:p w14:paraId="1BAB14E2">
      <w:pPr>
        <w:keepNext w:val="0"/>
        <w:keepLines w:val="0"/>
        <w:pageBreakBefore w:val="0"/>
        <w:widowControl w:val="0"/>
        <w:kinsoku/>
        <w:wordWrap w:val="0"/>
        <w:overflowPunct/>
        <w:topLinePunct w:val="0"/>
        <w:autoSpaceDE/>
        <w:autoSpaceDN/>
        <w:bidi w:val="0"/>
        <w:adjustRightInd/>
        <w:snapToGrid/>
        <w:spacing w:before="0" w:after="0" w:line="360" w:lineRule="auto"/>
        <w:ind w:left="60" w:right="320" w:firstLine="54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第二十</w:t>
      </w:r>
      <w:r>
        <w:rPr>
          <w:rFonts w:hint="eastAsia" w:ascii="宋体" w:hAnsi="宋体" w:eastAsia="宋体" w:cs="宋体"/>
          <w:color w:val="000000"/>
          <w:sz w:val="24"/>
          <w:szCs w:val="24"/>
          <w:lang w:val="en-US" w:eastAsia="zh-CN"/>
        </w:rPr>
        <w:t>四</w:t>
      </w:r>
      <w:r>
        <w:rPr>
          <w:rFonts w:hint="eastAsia" w:ascii="宋体" w:hAnsi="宋体" w:eastAsia="宋体" w:cs="宋体"/>
          <w:color w:val="000000"/>
          <w:sz w:val="24"/>
          <w:szCs w:val="24"/>
        </w:rPr>
        <w:t>条 财务资源：医院将伦理</w:t>
      </w:r>
      <w:r>
        <w:rPr>
          <w:rFonts w:hint="eastAsia" w:ascii="宋体" w:hAnsi="宋体" w:eastAsia="宋体" w:cs="宋体"/>
          <w:color w:val="000000"/>
          <w:sz w:val="24"/>
          <w:szCs w:val="24"/>
          <w:lang w:val="en-US" w:eastAsia="zh-CN"/>
        </w:rPr>
        <w:t>审查</w:t>
      </w:r>
      <w:r>
        <w:rPr>
          <w:rFonts w:hint="eastAsia" w:ascii="宋体" w:hAnsi="宋体" w:eastAsia="宋体" w:cs="宋体"/>
          <w:color w:val="000000"/>
          <w:sz w:val="24"/>
          <w:szCs w:val="24"/>
        </w:rPr>
        <w:t>委员会的运行经费列入年度财务预算，以满足其人员、培训、设备、办公消耗品、审查劳务等支出的需要。经费使用按照医院财务管理规定执行。支付给委员的劳务补偿可以应要求公开。</w:t>
      </w:r>
    </w:p>
    <w:p w14:paraId="6AC81253">
      <w:pPr>
        <w:keepNext w:val="0"/>
        <w:keepLines w:val="0"/>
        <w:pageBreakBefore w:val="0"/>
        <w:widowControl w:val="0"/>
        <w:kinsoku/>
        <w:wordWrap w:val="0"/>
        <w:overflowPunct/>
        <w:topLinePunct w:val="0"/>
        <w:autoSpaceDE/>
        <w:autoSpaceDN/>
        <w:bidi w:val="0"/>
        <w:adjustRightInd/>
        <w:snapToGrid/>
        <w:spacing w:before="0" w:after="0" w:line="360" w:lineRule="auto"/>
        <w:ind w:left="60" w:right="320" w:firstLine="540"/>
        <w:jc w:val="both"/>
        <w:textAlignment w:val="auto"/>
        <w:rPr>
          <w:rFonts w:hint="eastAsia" w:ascii="宋体" w:hAnsi="宋体" w:eastAsia="宋体" w:cs="宋体"/>
          <w:sz w:val="24"/>
          <w:szCs w:val="24"/>
        </w:rPr>
      </w:pPr>
      <w:r>
        <w:rPr>
          <w:rFonts w:hint="eastAsia" w:ascii="宋体" w:hAnsi="宋体" w:eastAsia="宋体" w:cs="宋体"/>
          <w:b w:val="0"/>
          <w:bCs/>
          <w:color w:val="000000"/>
          <w:sz w:val="24"/>
          <w:szCs w:val="24"/>
        </w:rPr>
        <w:t>第二十</w:t>
      </w:r>
      <w:r>
        <w:rPr>
          <w:rFonts w:hint="eastAsia" w:ascii="宋体" w:hAnsi="宋体" w:eastAsia="宋体" w:cs="宋体"/>
          <w:b w:val="0"/>
          <w:bCs/>
          <w:color w:val="000000"/>
          <w:sz w:val="24"/>
          <w:szCs w:val="24"/>
          <w:lang w:val="en-US" w:eastAsia="zh-CN"/>
        </w:rPr>
        <w:t>五</w:t>
      </w:r>
      <w:r>
        <w:rPr>
          <w:rFonts w:hint="eastAsia" w:ascii="宋体" w:hAnsi="宋体" w:eastAsia="宋体" w:cs="宋体"/>
          <w:b w:val="0"/>
          <w:bCs/>
          <w:color w:val="000000"/>
          <w:sz w:val="24"/>
          <w:szCs w:val="24"/>
        </w:rPr>
        <w:t>条</w:t>
      </w:r>
      <w:r>
        <w:rPr>
          <w:rFonts w:hint="eastAsia" w:ascii="宋体" w:hAnsi="宋体" w:eastAsia="宋体" w:cs="宋体"/>
          <w:color w:val="000000"/>
          <w:sz w:val="24"/>
          <w:szCs w:val="24"/>
        </w:rPr>
        <w:t xml:space="preserve"> 伦理审查资源的共享：医院可通过多中心临床研究协作伦理审查的协议与其他组织机构共享伦理审查资源，以提高研究和伦理审查的效率和效益。如果本机构承担中心伦理审查的责任，应当确认伦理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具备与审查项目专业相一致的审查能力。如果本机构承担协作伦理审查的责任，应当保持对本机构的研究实施监督，并有权终止或者暂停一项研究。协作伦理审查的协议还应当说明各研究中心沟通交流的程序，例如方案修正，非预期问题的报告。</w:t>
      </w:r>
    </w:p>
    <w:p w14:paraId="7D734CAE">
      <w:pPr>
        <w:keepNext w:val="0"/>
        <w:keepLines w:val="0"/>
        <w:pageBreakBefore w:val="0"/>
        <w:widowControl w:val="0"/>
        <w:kinsoku/>
        <w:wordWrap w:val="0"/>
        <w:overflowPunct/>
        <w:topLinePunct w:val="0"/>
        <w:autoSpaceDE/>
        <w:autoSpaceDN/>
        <w:bidi w:val="0"/>
        <w:adjustRightInd/>
        <w:snapToGrid/>
        <w:spacing w:before="0" w:after="0" w:line="360" w:lineRule="auto"/>
        <w:ind w:right="32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医院通过委托伦理审查的协议，接受其他组织机构委托的伦理审查，应当确认伦理</w:t>
      </w:r>
      <w:r>
        <w:rPr>
          <w:rFonts w:hint="eastAsia" w:ascii="宋体" w:hAnsi="宋体" w:eastAsia="宋体" w:cs="宋体"/>
          <w:color w:val="000000"/>
          <w:sz w:val="24"/>
          <w:szCs w:val="24"/>
          <w:lang w:val="en-US" w:eastAsia="zh-CN"/>
        </w:rPr>
        <w:t>审查</w:t>
      </w:r>
      <w:r>
        <w:rPr>
          <w:rFonts w:hint="eastAsia" w:ascii="宋体" w:hAnsi="宋体" w:eastAsia="宋体" w:cs="宋体"/>
          <w:color w:val="000000"/>
          <w:sz w:val="24"/>
          <w:szCs w:val="24"/>
        </w:rPr>
        <w:t>委员会具备与受委托审查项目专业相一致的审查能力，有条件对受委托审查项目进行初始审查，跟踪审查和复审。</w:t>
      </w:r>
    </w:p>
    <w:p w14:paraId="052F7B1B">
      <w:pPr>
        <w:keepNext w:val="0"/>
        <w:keepLines w:val="0"/>
        <w:pageBreakBefore w:val="0"/>
        <w:widowControl w:val="0"/>
        <w:kinsoku/>
        <w:wordWrap w:val="0"/>
        <w:overflowPunct/>
        <w:topLinePunct w:val="0"/>
        <w:autoSpaceDE/>
        <w:autoSpaceDN/>
        <w:bidi w:val="0"/>
        <w:adjustRightInd/>
        <w:snapToGrid/>
        <w:spacing w:before="0" w:after="0" w:line="360" w:lineRule="auto"/>
        <w:jc w:val="center"/>
        <w:textAlignment w:val="auto"/>
        <w:rPr>
          <w:rFonts w:hint="eastAsia" w:ascii="宋体" w:hAnsi="宋体" w:eastAsia="宋体" w:cs="宋体"/>
          <w:b/>
          <w:color w:val="000000"/>
          <w:sz w:val="24"/>
          <w:szCs w:val="24"/>
        </w:rPr>
      </w:pPr>
    </w:p>
    <w:p w14:paraId="3257EB0C">
      <w:pPr>
        <w:keepNext w:val="0"/>
        <w:keepLines w:val="0"/>
        <w:pageBreakBefore w:val="0"/>
        <w:widowControl w:val="0"/>
        <w:kinsoku/>
        <w:wordWrap w:val="0"/>
        <w:overflowPunct/>
        <w:topLinePunct w:val="0"/>
        <w:autoSpaceDE/>
        <w:autoSpaceDN/>
        <w:bidi w:val="0"/>
        <w:adjustRightInd/>
        <w:snapToGrid/>
        <w:spacing w:before="0" w:after="0" w:line="360" w:lineRule="auto"/>
        <w:jc w:val="center"/>
        <w:textAlignment w:val="auto"/>
        <w:rPr>
          <w:rFonts w:hint="eastAsia" w:ascii="宋体" w:hAnsi="宋体" w:eastAsia="宋体" w:cs="宋体"/>
          <w:sz w:val="24"/>
          <w:szCs w:val="24"/>
        </w:rPr>
      </w:pPr>
      <w:r>
        <w:rPr>
          <w:rFonts w:hint="eastAsia" w:ascii="宋体" w:hAnsi="宋体" w:eastAsia="宋体" w:cs="宋体"/>
          <w:b/>
          <w:color w:val="000000"/>
          <w:sz w:val="24"/>
          <w:szCs w:val="24"/>
        </w:rPr>
        <w:t>第五章 伦理</w:t>
      </w:r>
      <w:r>
        <w:rPr>
          <w:rFonts w:hint="eastAsia" w:ascii="宋体" w:hAnsi="宋体" w:eastAsia="宋体" w:cs="宋体"/>
          <w:b/>
          <w:color w:val="000000"/>
          <w:sz w:val="24"/>
          <w:szCs w:val="24"/>
          <w:lang w:val="en-US" w:eastAsia="zh-CN"/>
        </w:rPr>
        <w:t>审查</w:t>
      </w:r>
      <w:r>
        <w:rPr>
          <w:rFonts w:hint="eastAsia" w:ascii="宋体" w:hAnsi="宋体" w:eastAsia="宋体" w:cs="宋体"/>
          <w:b/>
          <w:color w:val="000000"/>
          <w:sz w:val="24"/>
          <w:szCs w:val="24"/>
        </w:rPr>
        <w:t>委员会的运行</w:t>
      </w:r>
    </w:p>
    <w:p w14:paraId="284B8718">
      <w:pPr>
        <w:keepNext w:val="0"/>
        <w:keepLines w:val="0"/>
        <w:pageBreakBefore w:val="0"/>
        <w:widowControl w:val="0"/>
        <w:kinsoku/>
        <w:wordWrap w:val="0"/>
        <w:overflowPunct/>
        <w:topLinePunct w:val="0"/>
        <w:autoSpaceDE/>
        <w:autoSpaceDN/>
        <w:bidi w:val="0"/>
        <w:adjustRightInd/>
        <w:snapToGrid/>
        <w:spacing w:before="0" w:after="0" w:line="360" w:lineRule="auto"/>
        <w:ind w:left="60" w:right="320" w:firstLine="54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第二十</w:t>
      </w:r>
      <w:r>
        <w:rPr>
          <w:rFonts w:hint="eastAsia" w:ascii="宋体" w:hAnsi="宋体" w:eastAsia="宋体" w:cs="宋体"/>
          <w:color w:val="000000"/>
          <w:sz w:val="24"/>
          <w:szCs w:val="24"/>
          <w:lang w:val="en-US" w:eastAsia="zh-CN"/>
        </w:rPr>
        <w:t>六</w:t>
      </w:r>
      <w:r>
        <w:rPr>
          <w:rFonts w:hint="eastAsia" w:ascii="宋体" w:hAnsi="宋体" w:eastAsia="宋体" w:cs="宋体"/>
          <w:color w:val="000000"/>
          <w:sz w:val="24"/>
          <w:szCs w:val="24"/>
        </w:rPr>
        <w:t>条 职责：伦理</w:t>
      </w:r>
      <w:r>
        <w:rPr>
          <w:rFonts w:hint="eastAsia" w:ascii="宋体" w:hAnsi="宋体" w:eastAsia="宋体" w:cs="宋体"/>
          <w:color w:val="000000"/>
          <w:sz w:val="24"/>
          <w:szCs w:val="24"/>
          <w:lang w:val="en-US" w:eastAsia="zh-CN"/>
        </w:rPr>
        <w:t>审查</w:t>
      </w:r>
      <w:r>
        <w:rPr>
          <w:rFonts w:hint="eastAsia" w:ascii="宋体" w:hAnsi="宋体" w:eastAsia="宋体" w:cs="宋体"/>
          <w:color w:val="000000"/>
          <w:sz w:val="24"/>
          <w:szCs w:val="24"/>
        </w:rPr>
        <w:t>委员会应当制定程序文件，对本机构承担的、以及在本机构内实施的</w:t>
      </w:r>
      <w:r>
        <w:rPr>
          <w:rFonts w:hint="eastAsia" w:ascii="宋体" w:hAnsi="宋体" w:eastAsia="宋体" w:cs="宋体"/>
          <w:color w:val="000000"/>
          <w:sz w:val="24"/>
          <w:szCs w:val="24"/>
          <w:lang w:val="en-US" w:eastAsia="zh-CN"/>
        </w:rPr>
        <w:t>涉及人的生物医学研究项目</w:t>
      </w:r>
      <w:r>
        <w:rPr>
          <w:rFonts w:hint="eastAsia" w:ascii="宋体" w:hAnsi="宋体" w:eastAsia="宋体" w:cs="宋体"/>
          <w:color w:val="000000"/>
          <w:sz w:val="24"/>
          <w:szCs w:val="24"/>
        </w:rPr>
        <w:t>进行初始审查、跟踪审查和复审</w:t>
      </w:r>
      <w:r>
        <w:rPr>
          <w:rFonts w:hint="eastAsia" w:ascii="宋体" w:hAnsi="宋体" w:eastAsia="宋体" w:cs="宋体"/>
          <w:color w:val="000000"/>
          <w:sz w:val="24"/>
          <w:szCs w:val="24"/>
          <w:lang w:val="en-US" w:eastAsia="zh-CN"/>
        </w:rPr>
        <w:t>，如：</w:t>
      </w:r>
      <w:r>
        <w:rPr>
          <w:rFonts w:hint="eastAsia" w:ascii="宋体" w:hAnsi="宋体" w:eastAsia="宋体" w:cs="宋体"/>
          <w:color w:val="000000"/>
          <w:sz w:val="24"/>
          <w:szCs w:val="24"/>
        </w:rPr>
        <w:t>药物临床试验、医疗器械临床试验研究项目</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伦理审查应当独立、客观、公正和及时。</w:t>
      </w:r>
    </w:p>
    <w:p w14:paraId="0B9831A3">
      <w:pPr>
        <w:keepNext w:val="0"/>
        <w:keepLines w:val="0"/>
        <w:pageBreakBefore w:val="0"/>
        <w:widowControl w:val="0"/>
        <w:kinsoku/>
        <w:wordWrap w:val="0"/>
        <w:overflowPunct/>
        <w:topLinePunct w:val="0"/>
        <w:autoSpaceDE/>
        <w:autoSpaceDN/>
        <w:bidi w:val="0"/>
        <w:adjustRightInd/>
        <w:snapToGrid/>
        <w:spacing w:before="0" w:after="0" w:line="360" w:lineRule="auto"/>
        <w:ind w:left="60" w:right="320" w:firstLine="54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伦理</w:t>
      </w:r>
      <w:r>
        <w:rPr>
          <w:rFonts w:hint="eastAsia" w:ascii="宋体" w:hAnsi="宋体" w:eastAsia="宋体" w:cs="宋体"/>
          <w:color w:val="000000"/>
          <w:sz w:val="24"/>
          <w:szCs w:val="24"/>
          <w:lang w:val="en-US" w:eastAsia="zh-CN"/>
        </w:rPr>
        <w:t>审查</w:t>
      </w:r>
      <w:r>
        <w:rPr>
          <w:rFonts w:hint="eastAsia" w:ascii="宋体" w:hAnsi="宋体" w:eastAsia="宋体" w:cs="宋体"/>
          <w:color w:val="000000"/>
          <w:sz w:val="24"/>
          <w:szCs w:val="24"/>
        </w:rPr>
        <w:t>委员会办公室为伦理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委员会提供受理并协调处理受试者的诉求和意见，接受伦理相关事务咨询。伦理</w:t>
      </w:r>
      <w:r>
        <w:rPr>
          <w:rFonts w:hint="eastAsia" w:ascii="宋体" w:hAnsi="宋体" w:eastAsia="宋体" w:cs="宋体"/>
          <w:color w:val="000000"/>
          <w:sz w:val="24"/>
          <w:szCs w:val="24"/>
          <w:lang w:val="en-US" w:eastAsia="zh-CN"/>
        </w:rPr>
        <w:t>审查</w:t>
      </w:r>
      <w:r>
        <w:rPr>
          <w:rFonts w:hint="eastAsia" w:ascii="宋体" w:hAnsi="宋体" w:eastAsia="宋体" w:cs="宋体"/>
          <w:color w:val="000000"/>
          <w:sz w:val="24"/>
          <w:szCs w:val="24"/>
        </w:rPr>
        <w:t>委员会办公室应当向备案的执业登记机关提交伦理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委员会的年度工作报告。</w:t>
      </w:r>
    </w:p>
    <w:p w14:paraId="617EBE0A">
      <w:pPr>
        <w:keepNext w:val="0"/>
        <w:keepLines w:val="0"/>
        <w:pageBreakBefore w:val="0"/>
        <w:widowControl w:val="0"/>
        <w:kinsoku/>
        <w:wordWrap w:val="0"/>
        <w:overflowPunct/>
        <w:topLinePunct w:val="0"/>
        <w:autoSpaceDE/>
        <w:autoSpaceDN/>
        <w:bidi w:val="0"/>
        <w:adjustRightInd/>
        <w:snapToGrid/>
        <w:spacing w:before="0" w:after="0" w:line="360" w:lineRule="auto"/>
        <w:ind w:left="60" w:right="320" w:firstLine="54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第二十</w:t>
      </w:r>
      <w:r>
        <w:rPr>
          <w:rFonts w:hint="eastAsia" w:ascii="宋体" w:hAnsi="宋体" w:eastAsia="宋体" w:cs="宋体"/>
          <w:color w:val="000000"/>
          <w:sz w:val="24"/>
          <w:szCs w:val="24"/>
          <w:lang w:val="en-US" w:eastAsia="zh-CN"/>
        </w:rPr>
        <w:t>七</w:t>
      </w:r>
      <w:r>
        <w:rPr>
          <w:rFonts w:hint="eastAsia" w:ascii="宋体" w:hAnsi="宋体" w:eastAsia="宋体" w:cs="宋体"/>
          <w:color w:val="000000"/>
          <w:sz w:val="24"/>
          <w:szCs w:val="24"/>
        </w:rPr>
        <w:t>条 审查文件：伦理</w:t>
      </w:r>
      <w:r>
        <w:rPr>
          <w:rFonts w:hint="eastAsia" w:ascii="宋体" w:hAnsi="宋体" w:eastAsia="宋体" w:cs="宋体"/>
          <w:color w:val="000000"/>
          <w:sz w:val="24"/>
          <w:szCs w:val="24"/>
          <w:lang w:val="en-US" w:eastAsia="zh-CN"/>
        </w:rPr>
        <w:t>审查</w:t>
      </w:r>
      <w:r>
        <w:rPr>
          <w:rFonts w:hint="eastAsia" w:ascii="宋体" w:hAnsi="宋体" w:eastAsia="宋体" w:cs="宋体"/>
          <w:color w:val="000000"/>
          <w:sz w:val="24"/>
          <w:szCs w:val="24"/>
        </w:rPr>
        <w:t>委员会办公室应当保证委员能够获得伦理审查所需的文件和信息，以便委员能够按照伦理审查同意一项研究的标准进行审查。</w:t>
      </w:r>
    </w:p>
    <w:p w14:paraId="00B90C96">
      <w:pPr>
        <w:keepNext w:val="0"/>
        <w:keepLines w:val="0"/>
        <w:pageBreakBefore w:val="0"/>
        <w:widowControl w:val="0"/>
        <w:kinsoku/>
        <w:wordWrap w:val="0"/>
        <w:overflowPunct/>
        <w:topLinePunct w:val="0"/>
        <w:autoSpaceDE/>
        <w:autoSpaceDN/>
        <w:bidi w:val="0"/>
        <w:adjustRightInd/>
        <w:snapToGrid/>
        <w:spacing w:before="0" w:after="0" w:line="360" w:lineRule="auto"/>
        <w:ind w:right="32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第二十</w:t>
      </w:r>
      <w:r>
        <w:rPr>
          <w:rFonts w:hint="eastAsia" w:ascii="宋体" w:hAnsi="宋体" w:eastAsia="宋体" w:cs="宋体"/>
          <w:color w:val="000000"/>
          <w:sz w:val="24"/>
          <w:szCs w:val="24"/>
          <w:lang w:val="en-US" w:eastAsia="zh-CN"/>
        </w:rPr>
        <w:t>八</w:t>
      </w:r>
      <w:r>
        <w:rPr>
          <w:rFonts w:hint="eastAsia" w:ascii="宋体" w:hAnsi="宋体" w:eastAsia="宋体" w:cs="宋体"/>
          <w:color w:val="000000"/>
          <w:sz w:val="24"/>
          <w:szCs w:val="24"/>
        </w:rPr>
        <w:t>条 审查方式：伦理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委员会的审查方式有会议审查、紧急会议审查、</w:t>
      </w:r>
      <w:r>
        <w:rPr>
          <w:rFonts w:hint="eastAsia" w:ascii="宋体" w:hAnsi="宋体" w:cs="宋体"/>
          <w:color w:val="000000"/>
          <w:sz w:val="24"/>
          <w:szCs w:val="24"/>
          <w:lang w:val="en-US" w:eastAsia="zh-CN"/>
        </w:rPr>
        <w:t>简易程序</w:t>
      </w:r>
      <w:r>
        <w:rPr>
          <w:rFonts w:hint="eastAsia" w:ascii="宋体" w:hAnsi="宋体" w:eastAsia="宋体" w:cs="宋体"/>
          <w:color w:val="000000"/>
          <w:sz w:val="24"/>
          <w:szCs w:val="24"/>
        </w:rPr>
        <w:t>审查。</w:t>
      </w:r>
    </w:p>
    <w:p w14:paraId="47786E62">
      <w:pPr>
        <w:keepNext w:val="0"/>
        <w:keepLines w:val="0"/>
        <w:pageBreakBefore w:val="0"/>
        <w:widowControl w:val="0"/>
        <w:kinsoku/>
        <w:wordWrap w:val="0"/>
        <w:overflowPunct/>
        <w:topLinePunct w:val="0"/>
        <w:autoSpaceDE/>
        <w:autoSpaceDN/>
        <w:bidi w:val="0"/>
        <w:adjustRightInd/>
        <w:snapToGrid/>
        <w:spacing w:before="0" w:after="0" w:line="360" w:lineRule="auto"/>
        <w:ind w:left="60" w:right="320" w:firstLine="54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会议审查是伦理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委员会主要的审查工作方式，审查会议的安排应当保证审查的及时性。</w:t>
      </w:r>
      <w:r>
        <w:rPr>
          <w:rFonts w:hint="eastAsia" w:ascii="宋体" w:hAnsi="宋体" w:eastAsia="宋体" w:cs="宋体"/>
          <w:color w:val="000000"/>
          <w:sz w:val="24"/>
          <w:szCs w:val="24"/>
          <w:lang w:val="en-US" w:eastAsia="zh-CN"/>
        </w:rPr>
        <w:t>研究过程出现危急受试者生命安全的重大非预期问题，应当召开紧急会议审查。</w:t>
      </w:r>
    </w:p>
    <w:p w14:paraId="4E340051">
      <w:pPr>
        <w:keepNext w:val="0"/>
        <w:keepLines w:val="0"/>
        <w:pageBreakBefore w:val="0"/>
        <w:widowControl w:val="0"/>
        <w:kinsoku/>
        <w:wordWrap w:val="0"/>
        <w:overflowPunct/>
        <w:topLinePunct w:val="0"/>
        <w:autoSpaceDE/>
        <w:autoSpaceDN/>
        <w:bidi w:val="0"/>
        <w:adjustRightInd/>
        <w:snapToGrid/>
        <w:spacing w:before="0" w:after="0" w:line="360" w:lineRule="auto"/>
        <w:ind w:right="120" w:firstLine="480" w:firstLineChars="200"/>
        <w:jc w:val="both"/>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简易程序</w:t>
      </w:r>
      <w:r>
        <w:rPr>
          <w:rFonts w:hint="eastAsia" w:ascii="宋体" w:hAnsi="宋体" w:eastAsia="宋体" w:cs="宋体"/>
          <w:color w:val="000000"/>
          <w:sz w:val="24"/>
          <w:szCs w:val="24"/>
        </w:rPr>
        <w:t>审查是会议审查的补充形式，目的是为了提高工作效率，主要适用于以下情况：研究风险不大于最小风险、且不涉及弱势人群和个人隐私及敏感性问题；已同意方案的较小修改；没有受试者入组且未发现额外风险；已完成或停止研究相关的干预，研究仅是对受试者的跟踪随访；不属于增加受试者风险或显著影响研究实施的非预期问题；伦理审查提出的明确或较小的修改意见，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委员会为了验证这些修改；多机构开展的研究中，本院作为参与机构时对牵头机构出具伦理审查意见的确认等。</w:t>
      </w:r>
    </w:p>
    <w:p w14:paraId="0C47AEE1">
      <w:pPr>
        <w:keepNext w:val="0"/>
        <w:keepLines w:val="0"/>
        <w:pageBreakBefore w:val="0"/>
        <w:widowControl w:val="0"/>
        <w:kinsoku/>
        <w:wordWrap w:val="0"/>
        <w:overflowPunct/>
        <w:topLinePunct w:val="0"/>
        <w:autoSpaceDE/>
        <w:autoSpaceDN/>
        <w:bidi w:val="0"/>
        <w:adjustRightInd/>
        <w:snapToGrid/>
        <w:spacing w:before="0" w:after="0" w:line="360" w:lineRule="auto"/>
        <w:ind w:right="12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委员会可以指定2名医学专业背景的委员作为所有安全性报告的主审，并由其决定是</w:t>
      </w:r>
      <w:r>
        <w:rPr>
          <w:rFonts w:hint="eastAsia" w:ascii="宋体" w:hAnsi="宋体" w:cs="宋体"/>
          <w:color w:val="000000"/>
          <w:sz w:val="24"/>
          <w:szCs w:val="24"/>
          <w:lang w:val="en-US" w:eastAsia="zh-CN"/>
        </w:rPr>
        <w:t>简易程序审查</w:t>
      </w:r>
      <w:r>
        <w:rPr>
          <w:rFonts w:hint="eastAsia" w:ascii="宋体" w:hAnsi="宋体" w:eastAsia="宋体" w:cs="宋体"/>
          <w:color w:val="000000"/>
          <w:sz w:val="24"/>
          <w:szCs w:val="24"/>
        </w:rPr>
        <w:t>通过，还是提交会议审查。</w:t>
      </w:r>
    </w:p>
    <w:p w14:paraId="7B181BB5">
      <w:pPr>
        <w:keepNext w:val="0"/>
        <w:keepLines w:val="0"/>
        <w:pageBreakBefore w:val="0"/>
        <w:widowControl w:val="0"/>
        <w:kinsoku/>
        <w:wordWrap w:val="0"/>
        <w:overflowPunct/>
        <w:topLinePunct w:val="0"/>
        <w:autoSpaceDE/>
        <w:autoSpaceDN/>
        <w:bidi w:val="0"/>
        <w:adjustRightInd/>
        <w:snapToGrid/>
        <w:spacing w:before="0" w:after="0" w:line="360" w:lineRule="auto"/>
        <w:ind w:left="60" w:right="120" w:firstLine="52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第二十</w:t>
      </w:r>
      <w:r>
        <w:rPr>
          <w:rFonts w:hint="eastAsia" w:ascii="宋体" w:hAnsi="宋体" w:eastAsia="宋体" w:cs="宋体"/>
          <w:color w:val="000000"/>
          <w:sz w:val="24"/>
          <w:szCs w:val="24"/>
          <w:lang w:val="en-US" w:eastAsia="zh-CN"/>
        </w:rPr>
        <w:t>九</w:t>
      </w:r>
      <w:r>
        <w:rPr>
          <w:rFonts w:hint="eastAsia" w:ascii="宋体" w:hAnsi="宋体" w:eastAsia="宋体" w:cs="宋体"/>
          <w:color w:val="000000"/>
          <w:sz w:val="24"/>
          <w:szCs w:val="24"/>
        </w:rPr>
        <w:t>条 主审／预审：伦理审查实行主审制，每个审查项目安排2名主审委员，主审委员应当记录审查工作表。审查会议实行预审制，委员应当在审查会议前预审送审项目。</w:t>
      </w:r>
    </w:p>
    <w:p w14:paraId="719489E4">
      <w:pPr>
        <w:keepNext w:val="0"/>
        <w:keepLines w:val="0"/>
        <w:pageBreakBefore w:val="0"/>
        <w:widowControl w:val="0"/>
        <w:kinsoku/>
        <w:wordWrap w:val="0"/>
        <w:overflowPunct/>
        <w:topLinePunct w:val="0"/>
        <w:autoSpaceDE/>
        <w:autoSpaceDN/>
        <w:bidi w:val="0"/>
        <w:adjustRightInd/>
        <w:snapToGrid/>
        <w:spacing w:before="0" w:after="0" w:line="360" w:lineRule="auto"/>
        <w:ind w:left="60" w:right="120" w:firstLine="52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第</w:t>
      </w:r>
      <w:r>
        <w:rPr>
          <w:rFonts w:hint="eastAsia" w:ascii="宋体" w:hAnsi="宋体" w:eastAsia="宋体" w:cs="宋体"/>
          <w:color w:val="000000"/>
          <w:sz w:val="24"/>
          <w:szCs w:val="24"/>
          <w:lang w:val="en-US" w:eastAsia="zh-CN"/>
        </w:rPr>
        <w:t>三十</w:t>
      </w:r>
      <w:r>
        <w:rPr>
          <w:rFonts w:hint="eastAsia" w:ascii="宋体" w:hAnsi="宋体" w:eastAsia="宋体" w:cs="宋体"/>
          <w:color w:val="000000"/>
          <w:sz w:val="24"/>
          <w:szCs w:val="24"/>
        </w:rPr>
        <w:t>条 咨询：如果委员的专业知识不能胜任某研究项目的审查，或某研究项目的受试者与委员的社会和文化背景明显不同时，应当咨询独立顾问。咨询独立顾问可以按程序邀请，或者主审委员在主审过程中直接联系专家以获得咨询意见。</w:t>
      </w:r>
    </w:p>
    <w:p w14:paraId="3BFC9B04">
      <w:pPr>
        <w:keepNext w:val="0"/>
        <w:keepLines w:val="0"/>
        <w:pageBreakBefore w:val="0"/>
        <w:widowControl w:val="0"/>
        <w:kinsoku/>
        <w:wordWrap w:val="0"/>
        <w:overflowPunct/>
        <w:topLinePunct w:val="0"/>
        <w:autoSpaceDE/>
        <w:autoSpaceDN/>
        <w:bidi w:val="0"/>
        <w:adjustRightInd/>
        <w:snapToGrid/>
        <w:spacing w:before="0" w:after="0" w:line="360" w:lineRule="auto"/>
        <w:ind w:left="60" w:right="120" w:firstLine="52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第</w:t>
      </w:r>
      <w:r>
        <w:rPr>
          <w:rFonts w:hint="eastAsia" w:ascii="宋体" w:hAnsi="宋体" w:eastAsia="宋体" w:cs="宋体"/>
          <w:color w:val="000000"/>
          <w:sz w:val="24"/>
          <w:szCs w:val="24"/>
          <w:lang w:val="en-US" w:eastAsia="zh-CN"/>
        </w:rPr>
        <w:t>三十一</w:t>
      </w:r>
      <w:r>
        <w:rPr>
          <w:rFonts w:hint="eastAsia" w:ascii="宋体" w:hAnsi="宋体" w:eastAsia="宋体" w:cs="宋体"/>
          <w:color w:val="000000"/>
          <w:sz w:val="24"/>
          <w:szCs w:val="24"/>
        </w:rPr>
        <w:t>条 法定人数：法定到会人数应当超过伦理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委员会全体委员的半数，并不少于7人；应当包括医药专业、非医药专业的委员，独立于医院的委员，以及不同性别的委员。有利益冲突退出审查会议决定的委员，不计入法定人数。</w:t>
      </w:r>
    </w:p>
    <w:p w14:paraId="0DE4333F">
      <w:pPr>
        <w:keepNext w:val="0"/>
        <w:keepLines w:val="0"/>
        <w:pageBreakBefore w:val="0"/>
        <w:widowControl w:val="0"/>
        <w:kinsoku/>
        <w:wordWrap w:val="0"/>
        <w:overflowPunct/>
        <w:topLinePunct w:val="0"/>
        <w:autoSpaceDE/>
        <w:autoSpaceDN/>
        <w:bidi w:val="0"/>
        <w:adjustRightInd/>
        <w:snapToGrid/>
        <w:spacing w:before="0" w:after="0" w:line="360" w:lineRule="auto"/>
        <w:ind w:left="60" w:right="120" w:firstLine="52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第</w:t>
      </w:r>
      <w:r>
        <w:rPr>
          <w:rFonts w:hint="eastAsia" w:ascii="宋体" w:hAnsi="宋体" w:eastAsia="宋体" w:cs="宋体"/>
          <w:color w:val="000000"/>
          <w:sz w:val="24"/>
          <w:szCs w:val="24"/>
          <w:lang w:val="en-US" w:eastAsia="zh-CN"/>
        </w:rPr>
        <w:t>三十二</w:t>
      </w:r>
      <w:r>
        <w:rPr>
          <w:rFonts w:hint="eastAsia" w:ascii="宋体" w:hAnsi="宋体" w:eastAsia="宋体" w:cs="宋体"/>
          <w:color w:val="000000"/>
          <w:sz w:val="24"/>
          <w:szCs w:val="24"/>
        </w:rPr>
        <w:t>条 审查与决定：伦理</w:t>
      </w:r>
      <w:r>
        <w:rPr>
          <w:rFonts w:hint="eastAsia" w:ascii="宋体" w:hAnsi="宋体" w:eastAsia="宋体" w:cs="宋体"/>
          <w:color w:val="000000"/>
          <w:sz w:val="24"/>
          <w:szCs w:val="24"/>
          <w:lang w:val="en-US" w:eastAsia="zh-CN"/>
        </w:rPr>
        <w:t>审查</w:t>
      </w:r>
      <w:r>
        <w:rPr>
          <w:rFonts w:hint="eastAsia" w:ascii="宋体" w:hAnsi="宋体" w:eastAsia="宋体" w:cs="宋体"/>
          <w:color w:val="000000"/>
          <w:sz w:val="24"/>
          <w:szCs w:val="24"/>
        </w:rPr>
        <w:t>委员会应当依据伦理审查同意一项研究的标准，对送审项目进行充分的审查和讨论。会议主持人概括讨论所形成的审查意见后提请表决。参加表决的委员应当符合法定人数，并参加伦理审查会议的讨论。审查决定的意见有：同意，必要的修改后同意，不同意，终止或者暂停已同意的研究。审查决定的票数应当超过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委员会全体委员的半数。会后</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个工作日内</w:t>
      </w:r>
      <w:r>
        <w:rPr>
          <w:rFonts w:hint="eastAsia" w:ascii="宋体" w:hAnsi="宋体" w:eastAsia="宋体" w:cs="宋体"/>
          <w:color w:val="000000"/>
          <w:sz w:val="24"/>
          <w:szCs w:val="24"/>
        </w:rPr>
        <w:t>传达审查决定。</w:t>
      </w:r>
    </w:p>
    <w:p w14:paraId="5F1E2AA6">
      <w:pPr>
        <w:keepNext w:val="0"/>
        <w:keepLines w:val="0"/>
        <w:pageBreakBefore w:val="0"/>
        <w:widowControl w:val="0"/>
        <w:kinsoku/>
        <w:wordWrap w:val="0"/>
        <w:overflowPunct/>
        <w:topLinePunct w:val="0"/>
        <w:autoSpaceDE/>
        <w:autoSpaceDN/>
        <w:bidi w:val="0"/>
        <w:adjustRightInd/>
        <w:snapToGrid/>
        <w:spacing w:before="0" w:after="0" w:line="360" w:lineRule="auto"/>
        <w:ind w:left="60" w:right="120" w:firstLine="520"/>
        <w:jc w:val="both"/>
        <w:textAlignment w:val="auto"/>
        <w:rPr>
          <w:rFonts w:hint="eastAsia" w:ascii="宋体" w:hAnsi="宋体" w:eastAsia="宋体" w:cs="宋体"/>
          <w:color w:val="000000"/>
          <w:sz w:val="24"/>
          <w:szCs w:val="24"/>
        </w:rPr>
      </w:pPr>
      <w:bookmarkStart w:id="0" w:name="_GoBack"/>
      <w:r>
        <w:rPr>
          <w:rFonts w:hint="eastAsia" w:ascii="宋体" w:hAnsi="宋体" w:eastAsia="宋体" w:cs="宋体"/>
          <w:color w:val="000000"/>
          <w:sz w:val="24"/>
          <w:szCs w:val="24"/>
        </w:rPr>
        <w:t>研究者／申办者对伦理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委员会的审查决定有不同意见，可以提交复审，还可以要求与伦理</w:t>
      </w:r>
      <w:r>
        <w:rPr>
          <w:rFonts w:hint="eastAsia" w:ascii="宋体" w:hAnsi="宋体" w:eastAsia="宋体" w:cs="宋体"/>
          <w:color w:val="000000"/>
          <w:sz w:val="24"/>
          <w:szCs w:val="24"/>
          <w:lang w:val="en-US" w:eastAsia="zh-CN"/>
        </w:rPr>
        <w:t>审查</w:t>
      </w:r>
      <w:r>
        <w:rPr>
          <w:rFonts w:hint="eastAsia" w:ascii="宋体" w:hAnsi="宋体" w:eastAsia="宋体" w:cs="宋体"/>
          <w:color w:val="000000"/>
          <w:sz w:val="24"/>
          <w:szCs w:val="24"/>
        </w:rPr>
        <w:t>委员会委员进行直接的沟通交流。</w:t>
      </w:r>
    </w:p>
    <w:bookmarkEnd w:id="0"/>
    <w:p w14:paraId="452F1D40">
      <w:pPr>
        <w:keepNext w:val="0"/>
        <w:keepLines w:val="0"/>
        <w:pageBreakBefore w:val="0"/>
        <w:widowControl w:val="0"/>
        <w:kinsoku/>
        <w:wordWrap w:val="0"/>
        <w:overflowPunct/>
        <w:topLinePunct w:val="0"/>
        <w:autoSpaceDE/>
        <w:autoSpaceDN/>
        <w:bidi w:val="0"/>
        <w:adjustRightInd/>
        <w:snapToGrid/>
        <w:spacing w:before="0" w:after="0" w:line="360" w:lineRule="auto"/>
        <w:ind w:left="60" w:right="120" w:firstLine="52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第三十</w:t>
      </w:r>
      <w:r>
        <w:rPr>
          <w:rFonts w:hint="eastAsia" w:ascii="宋体" w:hAnsi="宋体" w:eastAsia="宋体" w:cs="宋体"/>
          <w:color w:val="000000"/>
          <w:sz w:val="24"/>
          <w:szCs w:val="24"/>
          <w:lang w:val="en-US" w:eastAsia="zh-CN"/>
        </w:rPr>
        <w:t>三</w:t>
      </w:r>
      <w:r>
        <w:rPr>
          <w:rFonts w:hint="eastAsia" w:ascii="宋体" w:hAnsi="宋体" w:eastAsia="宋体" w:cs="宋体"/>
          <w:color w:val="000000"/>
          <w:sz w:val="24"/>
          <w:szCs w:val="24"/>
        </w:rPr>
        <w:t>条 利益冲突管理：伦理</w:t>
      </w:r>
      <w:r>
        <w:rPr>
          <w:rFonts w:hint="eastAsia" w:ascii="宋体" w:hAnsi="宋体" w:eastAsia="宋体" w:cs="宋体"/>
          <w:color w:val="000000"/>
          <w:sz w:val="24"/>
          <w:szCs w:val="24"/>
          <w:lang w:val="en-US" w:eastAsia="zh-CN"/>
        </w:rPr>
        <w:t>审查</w:t>
      </w:r>
      <w:r>
        <w:rPr>
          <w:rFonts w:hint="eastAsia" w:ascii="宋体" w:hAnsi="宋体" w:eastAsia="宋体" w:cs="宋体"/>
          <w:color w:val="000000"/>
          <w:sz w:val="24"/>
          <w:szCs w:val="24"/>
        </w:rPr>
        <w:t>委员会委员应当遵循研究利益冲突政策，与审查项目存在利益冲突的委员应当主动声明，并退出该项目审查的讨论和决定程序。</w:t>
      </w:r>
    </w:p>
    <w:p w14:paraId="5D3416D2">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伦理</w:t>
      </w:r>
      <w:r>
        <w:rPr>
          <w:rFonts w:hint="eastAsia" w:ascii="宋体" w:hAnsi="宋体" w:eastAsia="宋体" w:cs="宋体"/>
          <w:color w:val="000000"/>
          <w:sz w:val="24"/>
          <w:szCs w:val="24"/>
          <w:lang w:val="en-US" w:eastAsia="zh-CN"/>
        </w:rPr>
        <w:t>审查</w:t>
      </w:r>
      <w:r>
        <w:rPr>
          <w:rFonts w:hint="eastAsia" w:ascii="宋体" w:hAnsi="宋体" w:eastAsia="宋体" w:cs="宋体"/>
          <w:color w:val="000000"/>
          <w:sz w:val="24"/>
          <w:szCs w:val="24"/>
        </w:rPr>
        <w:t>委员会受医院的委托，依据医院研究利益冲突政策的规定，审查研究者和研究人员的利益冲突声明。</w:t>
      </w:r>
    </w:p>
    <w:p w14:paraId="3665C04A">
      <w:pPr>
        <w:keepNext w:val="0"/>
        <w:keepLines w:val="0"/>
        <w:pageBreakBefore w:val="0"/>
        <w:widowControl w:val="0"/>
        <w:kinsoku/>
        <w:wordWrap w:val="0"/>
        <w:overflowPunct/>
        <w:topLinePunct w:val="0"/>
        <w:autoSpaceDE/>
        <w:autoSpaceDN/>
        <w:bidi w:val="0"/>
        <w:adjustRightInd/>
        <w:snapToGrid/>
        <w:spacing w:before="0" w:after="0" w:line="360" w:lineRule="auto"/>
        <w:ind w:left="60" w:right="60" w:firstLine="58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b w:val="0"/>
          <w:bCs/>
          <w:color w:val="000000"/>
          <w:sz w:val="24"/>
          <w:szCs w:val="24"/>
        </w:rPr>
        <w:t>第三十</w:t>
      </w:r>
      <w:r>
        <w:rPr>
          <w:rFonts w:hint="eastAsia" w:ascii="宋体" w:hAnsi="宋体" w:eastAsia="宋体" w:cs="宋体"/>
          <w:b w:val="0"/>
          <w:bCs/>
          <w:color w:val="000000"/>
          <w:sz w:val="24"/>
          <w:szCs w:val="24"/>
          <w:lang w:val="en-US" w:eastAsia="zh-CN"/>
        </w:rPr>
        <w:t>四</w:t>
      </w:r>
      <w:r>
        <w:rPr>
          <w:rFonts w:hint="eastAsia" w:ascii="宋体" w:hAnsi="宋体" w:eastAsia="宋体" w:cs="宋体"/>
          <w:b w:val="0"/>
          <w:bCs/>
          <w:color w:val="000000"/>
          <w:sz w:val="24"/>
          <w:szCs w:val="24"/>
        </w:rPr>
        <w:t xml:space="preserve">条 </w:t>
      </w:r>
      <w:r>
        <w:rPr>
          <w:rFonts w:hint="eastAsia" w:ascii="宋体" w:hAnsi="宋体" w:eastAsia="宋体" w:cs="宋体"/>
          <w:color w:val="000000"/>
          <w:sz w:val="24"/>
          <w:szCs w:val="24"/>
        </w:rPr>
        <w:t>保密：伦理</w:t>
      </w:r>
      <w:r>
        <w:rPr>
          <w:rFonts w:hint="eastAsia" w:ascii="宋体" w:hAnsi="宋体" w:eastAsia="宋体" w:cs="宋体"/>
          <w:color w:val="000000"/>
          <w:sz w:val="24"/>
          <w:szCs w:val="24"/>
          <w:lang w:val="en-US" w:eastAsia="zh-CN"/>
        </w:rPr>
        <w:t>审查</w:t>
      </w:r>
      <w:r>
        <w:rPr>
          <w:rFonts w:hint="eastAsia" w:ascii="宋体" w:hAnsi="宋体" w:eastAsia="宋体" w:cs="宋体"/>
          <w:color w:val="000000"/>
          <w:sz w:val="24"/>
          <w:szCs w:val="24"/>
        </w:rPr>
        <w:t>委员会委员对送审项目的文件负有保密的责任和义务，不得私</w:t>
      </w:r>
      <w:r>
        <w:rPr>
          <w:rFonts w:hint="eastAsia" w:ascii="宋体" w:hAnsi="宋体" w:eastAsia="宋体" w:cs="宋体"/>
          <w:color w:val="000000"/>
          <w:sz w:val="24"/>
          <w:szCs w:val="24"/>
          <w:lang w:val="en-US" w:eastAsia="zh-CN"/>
        </w:rPr>
        <w:t>自</w:t>
      </w:r>
      <w:r>
        <w:rPr>
          <w:rFonts w:hint="eastAsia" w:ascii="宋体" w:hAnsi="宋体" w:eastAsia="宋体" w:cs="宋体"/>
          <w:color w:val="000000"/>
          <w:sz w:val="24"/>
          <w:szCs w:val="24"/>
        </w:rPr>
        <w:t>复制与外传，不得利用伦理审查所获知的信息为自己或第三方谋取商业利益。</w:t>
      </w:r>
      <w:r>
        <w:rPr>
          <w:rFonts w:hint="eastAsia" w:ascii="宋体" w:hAnsi="宋体" w:eastAsia="宋体" w:cs="宋体"/>
          <w:color w:val="000000"/>
          <w:sz w:val="24"/>
          <w:szCs w:val="24"/>
          <w:lang w:val="en-US" w:eastAsia="zh-CN"/>
        </w:rPr>
        <w:t xml:space="preserve">     </w:t>
      </w:r>
    </w:p>
    <w:p w14:paraId="6A9BB322">
      <w:pPr>
        <w:keepNext w:val="0"/>
        <w:keepLines w:val="0"/>
        <w:pageBreakBefore w:val="0"/>
        <w:widowControl w:val="0"/>
        <w:kinsoku/>
        <w:wordWrap w:val="0"/>
        <w:overflowPunct/>
        <w:topLinePunct w:val="0"/>
        <w:autoSpaceDE/>
        <w:autoSpaceDN/>
        <w:bidi w:val="0"/>
        <w:adjustRightInd/>
        <w:snapToGrid/>
        <w:spacing w:before="0" w:after="0" w:line="360" w:lineRule="auto"/>
        <w:ind w:left="60" w:right="60" w:firstLine="580"/>
        <w:jc w:val="both"/>
        <w:textAlignment w:val="auto"/>
        <w:rPr>
          <w:rFonts w:hint="eastAsia" w:ascii="宋体" w:hAnsi="宋体" w:eastAsia="宋体" w:cs="宋体"/>
          <w:sz w:val="24"/>
          <w:szCs w:val="24"/>
        </w:rPr>
      </w:pPr>
      <w:r>
        <w:rPr>
          <w:rFonts w:hint="eastAsia" w:ascii="宋体" w:hAnsi="宋体" w:eastAsia="宋体" w:cs="宋体"/>
          <w:b w:val="0"/>
          <w:bCs/>
          <w:color w:val="000000"/>
          <w:sz w:val="24"/>
          <w:szCs w:val="24"/>
        </w:rPr>
        <w:t>第三十</w:t>
      </w:r>
      <w:r>
        <w:rPr>
          <w:rFonts w:hint="eastAsia" w:ascii="宋体" w:hAnsi="宋体" w:eastAsia="宋体" w:cs="宋体"/>
          <w:b w:val="0"/>
          <w:bCs/>
          <w:color w:val="000000"/>
          <w:sz w:val="24"/>
          <w:szCs w:val="24"/>
          <w:lang w:val="en-US" w:eastAsia="zh-CN"/>
        </w:rPr>
        <w:t>五</w:t>
      </w:r>
      <w:r>
        <w:rPr>
          <w:rFonts w:hint="eastAsia" w:ascii="宋体" w:hAnsi="宋体" w:eastAsia="宋体" w:cs="宋体"/>
          <w:b w:val="0"/>
          <w:bCs/>
          <w:color w:val="000000"/>
          <w:sz w:val="24"/>
          <w:szCs w:val="24"/>
        </w:rPr>
        <w:t>条</w:t>
      </w:r>
      <w:r>
        <w:rPr>
          <w:rFonts w:hint="eastAsia" w:ascii="宋体" w:hAnsi="宋体" w:eastAsia="宋体" w:cs="宋体"/>
          <w:color w:val="000000"/>
          <w:sz w:val="24"/>
          <w:szCs w:val="24"/>
        </w:rPr>
        <w:t xml:space="preserve"> 质量管理：伦理</w:t>
      </w:r>
      <w:r>
        <w:rPr>
          <w:rFonts w:hint="eastAsia" w:ascii="宋体" w:hAnsi="宋体" w:eastAsia="宋体" w:cs="宋体"/>
          <w:color w:val="000000"/>
          <w:sz w:val="24"/>
          <w:szCs w:val="24"/>
          <w:lang w:val="en-US" w:eastAsia="zh-CN"/>
        </w:rPr>
        <w:t>审查</w:t>
      </w:r>
      <w:r>
        <w:rPr>
          <w:rFonts w:hint="eastAsia" w:ascii="宋体" w:hAnsi="宋体" w:eastAsia="宋体" w:cs="宋体"/>
          <w:color w:val="000000"/>
          <w:sz w:val="24"/>
          <w:szCs w:val="24"/>
        </w:rPr>
        <w:t>委员会应当对研究者和研究人员对伦理审查程序提出的问题和建议做出回应。伦理</w:t>
      </w:r>
      <w:r>
        <w:rPr>
          <w:rFonts w:hint="eastAsia" w:ascii="宋体" w:hAnsi="宋体" w:eastAsia="宋体" w:cs="宋体"/>
          <w:color w:val="000000"/>
          <w:sz w:val="24"/>
          <w:szCs w:val="24"/>
          <w:lang w:val="en-US" w:eastAsia="zh-CN"/>
        </w:rPr>
        <w:t>审查</w:t>
      </w:r>
      <w:r>
        <w:rPr>
          <w:rFonts w:hint="eastAsia" w:ascii="宋体" w:hAnsi="宋体" w:eastAsia="宋体" w:cs="宋体"/>
          <w:color w:val="000000"/>
          <w:sz w:val="24"/>
          <w:szCs w:val="24"/>
        </w:rPr>
        <w:t>委员会应当接受医院的内部审核和管理评审；接受政府卫生行政部门、药品监督管理部门的监督检查；接受独立第三方的研究伦理审查体系的质量认证。</w:t>
      </w:r>
    </w:p>
    <w:p w14:paraId="2EC4BE91">
      <w:pPr>
        <w:keepNext w:val="0"/>
        <w:keepLines w:val="0"/>
        <w:pageBreakBefore w:val="0"/>
        <w:widowControl w:val="0"/>
        <w:kinsoku/>
        <w:wordWrap w:val="0"/>
        <w:overflowPunct/>
        <w:topLinePunct w:val="0"/>
        <w:autoSpaceDE/>
        <w:autoSpaceDN/>
        <w:bidi w:val="0"/>
        <w:adjustRightInd/>
        <w:snapToGrid/>
        <w:spacing w:before="116" w:after="0" w:line="360" w:lineRule="auto"/>
        <w:ind w:left="60" w:right="60" w:firstLine="58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伦理</w:t>
      </w:r>
      <w:r>
        <w:rPr>
          <w:rFonts w:hint="eastAsia" w:ascii="宋体" w:hAnsi="宋体" w:eastAsia="宋体" w:cs="宋体"/>
          <w:color w:val="000000"/>
          <w:sz w:val="24"/>
          <w:szCs w:val="24"/>
          <w:lang w:val="en-US" w:eastAsia="zh-CN"/>
        </w:rPr>
        <w:t>审查</w:t>
      </w:r>
      <w:r>
        <w:rPr>
          <w:rFonts w:hint="eastAsia" w:ascii="宋体" w:hAnsi="宋体" w:eastAsia="宋体" w:cs="宋体"/>
          <w:color w:val="000000"/>
          <w:sz w:val="24"/>
          <w:szCs w:val="24"/>
        </w:rPr>
        <w:t>委员会应当对检查发现的问题，以及认证审核发现的不符合项，采取相应的纠正和纠正措施。</w:t>
      </w:r>
    </w:p>
    <w:p w14:paraId="642FF67D">
      <w:pPr>
        <w:pStyle w:val="25"/>
        <w:pageBreakBefore w:val="0"/>
        <w:widowControl w:val="0"/>
        <w:kinsoku/>
        <w:overflowPunct/>
        <w:topLinePunct w:val="0"/>
        <w:autoSpaceDE/>
        <w:autoSpaceDN/>
        <w:bidi w:val="0"/>
        <w:snapToGrid w:val="0"/>
        <w:spacing w:line="360" w:lineRule="auto"/>
        <w:ind w:firstLine="424" w:firstLineChars="177"/>
        <w:textAlignment w:val="auto"/>
        <w:rPr>
          <w:rFonts w:hint="eastAsia" w:ascii="宋体" w:hAnsi="宋体" w:cs="宋体"/>
          <w:bCs/>
          <w:sz w:val="24"/>
          <w:szCs w:val="24"/>
        </w:rPr>
      </w:pPr>
    </w:p>
    <w:p w14:paraId="1EA37661">
      <w:pPr>
        <w:pStyle w:val="23"/>
        <w:pageBreakBefore w:val="0"/>
        <w:widowControl w:val="0"/>
        <w:kinsoku/>
        <w:overflowPunct/>
        <w:topLinePunct w:val="0"/>
        <w:autoSpaceDE/>
        <w:autoSpaceDN/>
        <w:bidi w:val="0"/>
        <w:spacing w:line="360" w:lineRule="auto"/>
        <w:ind w:left="1" w:leftChars="0"/>
        <w:jc w:val="center"/>
        <w:textAlignment w:val="auto"/>
        <w:rPr>
          <w:rFonts w:hint="eastAsia" w:ascii="宋体" w:hAnsi="宋体" w:eastAsia="宋体"/>
          <w:b/>
          <w:bCs w:val="0"/>
          <w:sz w:val="24"/>
          <w:szCs w:val="24"/>
        </w:rPr>
      </w:pPr>
      <w:r>
        <w:rPr>
          <w:rFonts w:hint="eastAsia" w:ascii="宋体" w:hAnsi="宋体" w:eastAsia="宋体"/>
          <w:b/>
          <w:bCs w:val="0"/>
          <w:sz w:val="24"/>
          <w:szCs w:val="24"/>
        </w:rPr>
        <w:t>修订记录</w:t>
      </w:r>
    </w:p>
    <w:tbl>
      <w:tblPr>
        <w:tblStyle w:val="13"/>
        <w:tblW w:w="8832"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472"/>
        <w:gridCol w:w="1472"/>
        <w:gridCol w:w="1472"/>
        <w:gridCol w:w="1472"/>
        <w:gridCol w:w="1472"/>
      </w:tblGrid>
      <w:tr w14:paraId="2E84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72" w:type="dxa"/>
            <w:vAlign w:val="center"/>
          </w:tcPr>
          <w:p w14:paraId="64184359">
            <w:pPr>
              <w:pStyle w:val="23"/>
              <w:pageBreakBefore w:val="0"/>
              <w:widowControl w:val="0"/>
              <w:kinsoku/>
              <w:wordWrap w:val="0"/>
              <w:overflowPunct/>
              <w:topLinePunct w:val="0"/>
              <w:autoSpaceDE/>
              <w:autoSpaceDN/>
              <w:bidi w:val="0"/>
              <w:spacing w:line="360" w:lineRule="auto"/>
              <w:ind w:left="0" w:leftChars="0"/>
              <w:jc w:val="center"/>
              <w:textAlignment w:val="auto"/>
              <w:rPr>
                <w:rFonts w:eastAsia="宋体" w:cs="Times New Roman"/>
                <w:b w:val="0"/>
                <w:sz w:val="24"/>
                <w:szCs w:val="24"/>
              </w:rPr>
            </w:pPr>
            <w:r>
              <w:rPr>
                <w:rFonts w:hint="eastAsia" w:eastAsia="宋体" w:cs="Times New Roman"/>
                <w:b w:val="0"/>
                <w:sz w:val="24"/>
                <w:szCs w:val="24"/>
              </w:rPr>
              <w:t>修订版次</w:t>
            </w:r>
          </w:p>
        </w:tc>
        <w:tc>
          <w:tcPr>
            <w:tcW w:w="1472" w:type="dxa"/>
            <w:vAlign w:val="center"/>
          </w:tcPr>
          <w:p w14:paraId="29B74742">
            <w:pPr>
              <w:pStyle w:val="23"/>
              <w:pageBreakBefore w:val="0"/>
              <w:widowControl w:val="0"/>
              <w:kinsoku/>
              <w:wordWrap w:val="0"/>
              <w:overflowPunct/>
              <w:topLinePunct w:val="0"/>
              <w:autoSpaceDE/>
              <w:autoSpaceDN/>
              <w:bidi w:val="0"/>
              <w:spacing w:line="360" w:lineRule="auto"/>
              <w:ind w:left="0" w:leftChars="0"/>
              <w:jc w:val="center"/>
              <w:textAlignment w:val="auto"/>
              <w:rPr>
                <w:rFonts w:eastAsia="宋体" w:cs="Times New Roman"/>
                <w:b w:val="0"/>
                <w:sz w:val="24"/>
                <w:szCs w:val="24"/>
              </w:rPr>
            </w:pPr>
            <w:r>
              <w:rPr>
                <w:rFonts w:hint="eastAsia" w:eastAsia="宋体" w:cs="Times New Roman"/>
                <w:b w:val="0"/>
                <w:sz w:val="24"/>
                <w:szCs w:val="24"/>
              </w:rPr>
              <w:t>修订内容</w:t>
            </w:r>
          </w:p>
        </w:tc>
        <w:tc>
          <w:tcPr>
            <w:tcW w:w="1472" w:type="dxa"/>
            <w:vAlign w:val="center"/>
          </w:tcPr>
          <w:p w14:paraId="2A87DAE8">
            <w:pPr>
              <w:pStyle w:val="23"/>
              <w:pageBreakBefore w:val="0"/>
              <w:widowControl w:val="0"/>
              <w:kinsoku/>
              <w:wordWrap w:val="0"/>
              <w:overflowPunct/>
              <w:topLinePunct w:val="0"/>
              <w:autoSpaceDE/>
              <w:autoSpaceDN/>
              <w:bidi w:val="0"/>
              <w:spacing w:line="360" w:lineRule="auto"/>
              <w:ind w:left="0" w:leftChars="0"/>
              <w:jc w:val="center"/>
              <w:textAlignment w:val="auto"/>
              <w:rPr>
                <w:rFonts w:eastAsia="宋体" w:cs="Times New Roman"/>
                <w:b w:val="0"/>
                <w:sz w:val="24"/>
                <w:szCs w:val="24"/>
              </w:rPr>
            </w:pPr>
            <w:r>
              <w:rPr>
                <w:rFonts w:hint="eastAsia" w:eastAsia="宋体" w:cs="Times New Roman"/>
                <w:b w:val="0"/>
                <w:sz w:val="24"/>
                <w:szCs w:val="24"/>
              </w:rPr>
              <w:t>修订原因</w:t>
            </w:r>
          </w:p>
        </w:tc>
        <w:tc>
          <w:tcPr>
            <w:tcW w:w="1472" w:type="dxa"/>
            <w:vAlign w:val="center"/>
          </w:tcPr>
          <w:p w14:paraId="18A8CA88">
            <w:pPr>
              <w:pStyle w:val="23"/>
              <w:pageBreakBefore w:val="0"/>
              <w:widowControl w:val="0"/>
              <w:kinsoku/>
              <w:wordWrap w:val="0"/>
              <w:overflowPunct/>
              <w:topLinePunct w:val="0"/>
              <w:autoSpaceDE/>
              <w:autoSpaceDN/>
              <w:bidi w:val="0"/>
              <w:spacing w:line="360" w:lineRule="auto"/>
              <w:ind w:left="0" w:leftChars="0"/>
              <w:jc w:val="center"/>
              <w:textAlignment w:val="auto"/>
              <w:rPr>
                <w:rFonts w:eastAsia="宋体" w:cs="Times New Roman"/>
                <w:b w:val="0"/>
                <w:sz w:val="24"/>
                <w:szCs w:val="24"/>
              </w:rPr>
            </w:pPr>
            <w:r>
              <w:rPr>
                <w:rFonts w:eastAsia="宋体" w:cs="Times New Roman"/>
                <w:b w:val="0"/>
                <w:sz w:val="24"/>
                <w:szCs w:val="24"/>
              </w:rPr>
              <w:t>修订依据</w:t>
            </w:r>
          </w:p>
        </w:tc>
        <w:tc>
          <w:tcPr>
            <w:tcW w:w="1472" w:type="dxa"/>
            <w:vAlign w:val="center"/>
          </w:tcPr>
          <w:p w14:paraId="1029B167">
            <w:pPr>
              <w:pStyle w:val="23"/>
              <w:pageBreakBefore w:val="0"/>
              <w:widowControl w:val="0"/>
              <w:kinsoku/>
              <w:wordWrap w:val="0"/>
              <w:overflowPunct/>
              <w:topLinePunct w:val="0"/>
              <w:autoSpaceDE/>
              <w:autoSpaceDN/>
              <w:bidi w:val="0"/>
              <w:spacing w:line="360" w:lineRule="auto"/>
              <w:ind w:left="0" w:leftChars="0"/>
              <w:jc w:val="center"/>
              <w:textAlignment w:val="auto"/>
              <w:rPr>
                <w:rFonts w:eastAsia="宋体" w:cs="Times New Roman"/>
                <w:b w:val="0"/>
                <w:sz w:val="24"/>
                <w:szCs w:val="24"/>
              </w:rPr>
            </w:pPr>
            <w:r>
              <w:rPr>
                <w:rFonts w:hint="eastAsia" w:eastAsia="宋体" w:cs="Times New Roman"/>
                <w:b w:val="0"/>
                <w:sz w:val="24"/>
                <w:szCs w:val="24"/>
              </w:rPr>
              <w:t>修订人</w:t>
            </w:r>
          </w:p>
        </w:tc>
        <w:tc>
          <w:tcPr>
            <w:tcW w:w="1472" w:type="dxa"/>
            <w:vAlign w:val="center"/>
          </w:tcPr>
          <w:p w14:paraId="2EC66D01">
            <w:pPr>
              <w:pStyle w:val="23"/>
              <w:pageBreakBefore w:val="0"/>
              <w:widowControl w:val="0"/>
              <w:kinsoku/>
              <w:wordWrap w:val="0"/>
              <w:overflowPunct/>
              <w:topLinePunct w:val="0"/>
              <w:autoSpaceDE/>
              <w:autoSpaceDN/>
              <w:bidi w:val="0"/>
              <w:spacing w:line="360" w:lineRule="auto"/>
              <w:ind w:left="0" w:leftChars="0"/>
              <w:jc w:val="center"/>
              <w:textAlignment w:val="auto"/>
              <w:rPr>
                <w:rFonts w:eastAsia="宋体" w:cs="Times New Roman"/>
                <w:b w:val="0"/>
                <w:sz w:val="24"/>
                <w:szCs w:val="24"/>
              </w:rPr>
            </w:pPr>
            <w:r>
              <w:rPr>
                <w:rFonts w:hint="eastAsia" w:eastAsia="宋体" w:cs="Times New Roman"/>
                <w:b w:val="0"/>
                <w:sz w:val="24"/>
                <w:szCs w:val="24"/>
              </w:rPr>
              <w:t>修订日期</w:t>
            </w:r>
          </w:p>
        </w:tc>
      </w:tr>
      <w:tr w14:paraId="2CF5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72" w:type="dxa"/>
            <w:vAlign w:val="center"/>
          </w:tcPr>
          <w:p w14:paraId="179E89CB">
            <w:pPr>
              <w:pStyle w:val="23"/>
              <w:pageBreakBefore w:val="0"/>
              <w:widowControl w:val="0"/>
              <w:kinsoku/>
              <w:wordWrap w:val="0"/>
              <w:overflowPunct/>
              <w:topLinePunct w:val="0"/>
              <w:autoSpaceDE/>
              <w:autoSpaceDN/>
              <w:bidi w:val="0"/>
              <w:spacing w:line="360" w:lineRule="auto"/>
              <w:ind w:left="0" w:leftChars="0"/>
              <w:jc w:val="center"/>
              <w:textAlignment w:val="auto"/>
              <w:rPr>
                <w:rFonts w:eastAsia="宋体" w:cs="Times New Roman"/>
                <w:b w:val="0"/>
                <w:sz w:val="24"/>
                <w:szCs w:val="24"/>
              </w:rPr>
            </w:pPr>
          </w:p>
        </w:tc>
        <w:tc>
          <w:tcPr>
            <w:tcW w:w="1472" w:type="dxa"/>
            <w:vAlign w:val="center"/>
          </w:tcPr>
          <w:p w14:paraId="4456D92B">
            <w:pPr>
              <w:pStyle w:val="23"/>
              <w:pageBreakBefore w:val="0"/>
              <w:widowControl w:val="0"/>
              <w:kinsoku/>
              <w:wordWrap w:val="0"/>
              <w:overflowPunct/>
              <w:topLinePunct w:val="0"/>
              <w:autoSpaceDE/>
              <w:autoSpaceDN/>
              <w:bidi w:val="0"/>
              <w:spacing w:line="360" w:lineRule="auto"/>
              <w:ind w:left="0" w:leftChars="0"/>
              <w:jc w:val="center"/>
              <w:textAlignment w:val="auto"/>
              <w:rPr>
                <w:rFonts w:eastAsia="宋体" w:cs="Times New Roman"/>
                <w:b w:val="0"/>
                <w:sz w:val="24"/>
                <w:szCs w:val="24"/>
              </w:rPr>
            </w:pPr>
          </w:p>
        </w:tc>
        <w:tc>
          <w:tcPr>
            <w:tcW w:w="1472" w:type="dxa"/>
            <w:vAlign w:val="center"/>
          </w:tcPr>
          <w:p w14:paraId="28CE59FB">
            <w:pPr>
              <w:pStyle w:val="23"/>
              <w:pageBreakBefore w:val="0"/>
              <w:widowControl w:val="0"/>
              <w:kinsoku/>
              <w:wordWrap w:val="0"/>
              <w:overflowPunct/>
              <w:topLinePunct w:val="0"/>
              <w:autoSpaceDE/>
              <w:autoSpaceDN/>
              <w:bidi w:val="0"/>
              <w:spacing w:line="360" w:lineRule="auto"/>
              <w:ind w:left="0" w:leftChars="0"/>
              <w:jc w:val="center"/>
              <w:textAlignment w:val="auto"/>
              <w:rPr>
                <w:rFonts w:eastAsia="宋体" w:cs="Times New Roman"/>
                <w:b w:val="0"/>
                <w:sz w:val="24"/>
                <w:szCs w:val="24"/>
              </w:rPr>
            </w:pPr>
          </w:p>
        </w:tc>
        <w:tc>
          <w:tcPr>
            <w:tcW w:w="1472" w:type="dxa"/>
            <w:vAlign w:val="center"/>
          </w:tcPr>
          <w:p w14:paraId="2DF7C7BA">
            <w:pPr>
              <w:pStyle w:val="23"/>
              <w:pageBreakBefore w:val="0"/>
              <w:widowControl w:val="0"/>
              <w:kinsoku/>
              <w:wordWrap w:val="0"/>
              <w:overflowPunct/>
              <w:topLinePunct w:val="0"/>
              <w:autoSpaceDE/>
              <w:autoSpaceDN/>
              <w:bidi w:val="0"/>
              <w:spacing w:line="360" w:lineRule="auto"/>
              <w:ind w:left="0" w:leftChars="0"/>
              <w:jc w:val="center"/>
              <w:textAlignment w:val="auto"/>
              <w:rPr>
                <w:rFonts w:eastAsia="宋体" w:cs="Times New Roman"/>
                <w:b w:val="0"/>
                <w:sz w:val="24"/>
                <w:szCs w:val="24"/>
              </w:rPr>
            </w:pPr>
          </w:p>
        </w:tc>
        <w:tc>
          <w:tcPr>
            <w:tcW w:w="1472" w:type="dxa"/>
            <w:vAlign w:val="center"/>
          </w:tcPr>
          <w:p w14:paraId="3BDF2C7F">
            <w:pPr>
              <w:pStyle w:val="23"/>
              <w:pageBreakBefore w:val="0"/>
              <w:widowControl w:val="0"/>
              <w:kinsoku/>
              <w:wordWrap w:val="0"/>
              <w:overflowPunct/>
              <w:topLinePunct w:val="0"/>
              <w:autoSpaceDE/>
              <w:autoSpaceDN/>
              <w:bidi w:val="0"/>
              <w:spacing w:line="360" w:lineRule="auto"/>
              <w:ind w:left="0" w:leftChars="0"/>
              <w:jc w:val="center"/>
              <w:textAlignment w:val="auto"/>
              <w:rPr>
                <w:rFonts w:eastAsia="宋体" w:cs="Times New Roman"/>
                <w:b w:val="0"/>
                <w:sz w:val="24"/>
                <w:szCs w:val="24"/>
              </w:rPr>
            </w:pPr>
          </w:p>
        </w:tc>
        <w:tc>
          <w:tcPr>
            <w:tcW w:w="1472" w:type="dxa"/>
            <w:vAlign w:val="center"/>
          </w:tcPr>
          <w:p w14:paraId="625B7BB3">
            <w:pPr>
              <w:pStyle w:val="23"/>
              <w:pageBreakBefore w:val="0"/>
              <w:widowControl w:val="0"/>
              <w:kinsoku/>
              <w:wordWrap w:val="0"/>
              <w:overflowPunct/>
              <w:topLinePunct w:val="0"/>
              <w:autoSpaceDE/>
              <w:autoSpaceDN/>
              <w:bidi w:val="0"/>
              <w:spacing w:line="360" w:lineRule="auto"/>
              <w:ind w:left="0" w:leftChars="0"/>
              <w:jc w:val="center"/>
              <w:textAlignment w:val="auto"/>
              <w:rPr>
                <w:rFonts w:eastAsia="宋体" w:cs="Times New Roman"/>
                <w:b w:val="0"/>
                <w:sz w:val="24"/>
                <w:szCs w:val="24"/>
              </w:rPr>
            </w:pPr>
          </w:p>
        </w:tc>
      </w:tr>
      <w:tr w14:paraId="01137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72" w:type="dxa"/>
            <w:vAlign w:val="center"/>
          </w:tcPr>
          <w:p w14:paraId="3006D972">
            <w:pPr>
              <w:pStyle w:val="23"/>
              <w:pageBreakBefore w:val="0"/>
              <w:widowControl w:val="0"/>
              <w:kinsoku/>
              <w:wordWrap w:val="0"/>
              <w:overflowPunct/>
              <w:topLinePunct w:val="0"/>
              <w:autoSpaceDE/>
              <w:autoSpaceDN/>
              <w:bidi w:val="0"/>
              <w:spacing w:line="360" w:lineRule="auto"/>
              <w:ind w:left="0" w:leftChars="0"/>
              <w:jc w:val="center"/>
              <w:textAlignment w:val="auto"/>
              <w:rPr>
                <w:rFonts w:eastAsia="宋体" w:cs="Times New Roman"/>
                <w:b w:val="0"/>
                <w:sz w:val="24"/>
                <w:szCs w:val="24"/>
              </w:rPr>
            </w:pPr>
          </w:p>
        </w:tc>
        <w:tc>
          <w:tcPr>
            <w:tcW w:w="1472" w:type="dxa"/>
            <w:vAlign w:val="center"/>
          </w:tcPr>
          <w:p w14:paraId="772C739B">
            <w:pPr>
              <w:pStyle w:val="23"/>
              <w:pageBreakBefore w:val="0"/>
              <w:widowControl w:val="0"/>
              <w:kinsoku/>
              <w:wordWrap w:val="0"/>
              <w:overflowPunct/>
              <w:topLinePunct w:val="0"/>
              <w:autoSpaceDE/>
              <w:autoSpaceDN/>
              <w:bidi w:val="0"/>
              <w:spacing w:line="360" w:lineRule="auto"/>
              <w:ind w:left="0" w:leftChars="0"/>
              <w:jc w:val="center"/>
              <w:textAlignment w:val="auto"/>
              <w:rPr>
                <w:rFonts w:eastAsia="宋体" w:cs="Times New Roman"/>
                <w:b w:val="0"/>
                <w:sz w:val="24"/>
                <w:szCs w:val="24"/>
              </w:rPr>
            </w:pPr>
          </w:p>
        </w:tc>
        <w:tc>
          <w:tcPr>
            <w:tcW w:w="1472" w:type="dxa"/>
            <w:vAlign w:val="center"/>
          </w:tcPr>
          <w:p w14:paraId="223C3802">
            <w:pPr>
              <w:pStyle w:val="23"/>
              <w:pageBreakBefore w:val="0"/>
              <w:widowControl w:val="0"/>
              <w:kinsoku/>
              <w:wordWrap w:val="0"/>
              <w:overflowPunct/>
              <w:topLinePunct w:val="0"/>
              <w:autoSpaceDE/>
              <w:autoSpaceDN/>
              <w:bidi w:val="0"/>
              <w:spacing w:line="360" w:lineRule="auto"/>
              <w:ind w:left="0" w:leftChars="0"/>
              <w:jc w:val="center"/>
              <w:textAlignment w:val="auto"/>
              <w:rPr>
                <w:rFonts w:eastAsia="宋体" w:cs="Times New Roman"/>
                <w:b w:val="0"/>
                <w:sz w:val="24"/>
                <w:szCs w:val="24"/>
              </w:rPr>
            </w:pPr>
          </w:p>
        </w:tc>
        <w:tc>
          <w:tcPr>
            <w:tcW w:w="1472" w:type="dxa"/>
            <w:vAlign w:val="center"/>
          </w:tcPr>
          <w:p w14:paraId="5949CEAD">
            <w:pPr>
              <w:pStyle w:val="23"/>
              <w:pageBreakBefore w:val="0"/>
              <w:widowControl w:val="0"/>
              <w:kinsoku/>
              <w:wordWrap w:val="0"/>
              <w:overflowPunct/>
              <w:topLinePunct w:val="0"/>
              <w:autoSpaceDE/>
              <w:autoSpaceDN/>
              <w:bidi w:val="0"/>
              <w:spacing w:line="360" w:lineRule="auto"/>
              <w:ind w:left="0" w:leftChars="0"/>
              <w:jc w:val="center"/>
              <w:textAlignment w:val="auto"/>
              <w:rPr>
                <w:rFonts w:eastAsia="宋体" w:cs="Times New Roman"/>
                <w:b w:val="0"/>
                <w:sz w:val="24"/>
                <w:szCs w:val="24"/>
              </w:rPr>
            </w:pPr>
          </w:p>
        </w:tc>
        <w:tc>
          <w:tcPr>
            <w:tcW w:w="1472" w:type="dxa"/>
            <w:vAlign w:val="center"/>
          </w:tcPr>
          <w:p w14:paraId="44ABF16F">
            <w:pPr>
              <w:pStyle w:val="23"/>
              <w:pageBreakBefore w:val="0"/>
              <w:widowControl w:val="0"/>
              <w:kinsoku/>
              <w:wordWrap w:val="0"/>
              <w:overflowPunct/>
              <w:topLinePunct w:val="0"/>
              <w:autoSpaceDE/>
              <w:autoSpaceDN/>
              <w:bidi w:val="0"/>
              <w:spacing w:line="360" w:lineRule="auto"/>
              <w:ind w:left="0" w:leftChars="0"/>
              <w:jc w:val="center"/>
              <w:textAlignment w:val="auto"/>
              <w:rPr>
                <w:rFonts w:eastAsia="宋体" w:cs="Times New Roman"/>
                <w:b w:val="0"/>
                <w:sz w:val="24"/>
                <w:szCs w:val="24"/>
              </w:rPr>
            </w:pPr>
          </w:p>
        </w:tc>
        <w:tc>
          <w:tcPr>
            <w:tcW w:w="1472" w:type="dxa"/>
            <w:vAlign w:val="center"/>
          </w:tcPr>
          <w:p w14:paraId="58880E0F">
            <w:pPr>
              <w:pStyle w:val="23"/>
              <w:pageBreakBefore w:val="0"/>
              <w:widowControl w:val="0"/>
              <w:kinsoku/>
              <w:wordWrap w:val="0"/>
              <w:overflowPunct/>
              <w:topLinePunct w:val="0"/>
              <w:autoSpaceDE/>
              <w:autoSpaceDN/>
              <w:bidi w:val="0"/>
              <w:spacing w:line="360" w:lineRule="auto"/>
              <w:ind w:left="0" w:leftChars="0"/>
              <w:jc w:val="center"/>
              <w:textAlignment w:val="auto"/>
              <w:rPr>
                <w:rFonts w:eastAsia="宋体" w:cs="Times New Roman"/>
                <w:b w:val="0"/>
                <w:sz w:val="24"/>
                <w:szCs w:val="24"/>
              </w:rPr>
            </w:pPr>
          </w:p>
        </w:tc>
      </w:tr>
    </w:tbl>
    <w:p w14:paraId="3078827A">
      <w:pPr>
        <w:pStyle w:val="25"/>
        <w:pageBreakBefore w:val="0"/>
        <w:widowControl w:val="0"/>
        <w:kinsoku/>
        <w:overflowPunct/>
        <w:topLinePunct w:val="0"/>
        <w:autoSpaceDE/>
        <w:autoSpaceDN/>
        <w:bidi w:val="0"/>
        <w:snapToGrid w:val="0"/>
        <w:spacing w:line="360" w:lineRule="auto"/>
        <w:ind w:left="0" w:leftChars="0" w:firstLine="0" w:firstLineChars="0"/>
        <w:textAlignment w:val="auto"/>
        <w:rPr>
          <w:rFonts w:ascii="Times New Roman"/>
          <w:sz w:val="24"/>
          <w:szCs w:val="24"/>
        </w:rPr>
      </w:pPr>
    </w:p>
    <w:p w14:paraId="09CAB368">
      <w:pPr>
        <w:keepNext w:val="0"/>
        <w:keepLines w:val="0"/>
        <w:pageBreakBefore w:val="0"/>
        <w:widowControl w:val="0"/>
        <w:kinsoku/>
        <w:wordWrap w:val="0"/>
        <w:overflowPunct/>
        <w:topLinePunct w:val="0"/>
        <w:autoSpaceDE/>
        <w:autoSpaceDN/>
        <w:bidi w:val="0"/>
        <w:adjustRightInd/>
        <w:snapToGrid/>
        <w:spacing w:before="0" w:after="0" w:line="360" w:lineRule="auto"/>
        <w:ind w:left="60" w:right="120" w:firstLine="520"/>
        <w:jc w:val="both"/>
        <w:textAlignment w:val="auto"/>
        <w:rPr>
          <w:rFonts w:hint="eastAsia" w:ascii="宋体" w:hAnsi="宋体" w:eastAsia="宋体" w:cs="宋体"/>
          <w:color w:val="000000"/>
          <w:sz w:val="24"/>
          <w:szCs w:val="24"/>
        </w:rPr>
      </w:pPr>
    </w:p>
    <w:p w14:paraId="0CC662CE">
      <w:pPr>
        <w:keepNext w:val="0"/>
        <w:keepLines w:val="0"/>
        <w:pageBreakBefore w:val="0"/>
        <w:widowControl w:val="0"/>
        <w:kinsoku/>
        <w:wordWrap w:val="0"/>
        <w:overflowPunct/>
        <w:topLinePunct w:val="0"/>
        <w:autoSpaceDE/>
        <w:autoSpaceDN/>
        <w:bidi w:val="0"/>
        <w:adjustRightInd/>
        <w:snapToGrid/>
        <w:spacing w:before="0" w:after="0" w:line="360" w:lineRule="auto"/>
        <w:ind w:left="60" w:right="320" w:firstLine="540"/>
        <w:jc w:val="both"/>
        <w:textAlignment w:val="auto"/>
        <w:rPr>
          <w:rFonts w:hint="eastAsia" w:ascii="宋体" w:hAnsi="宋体" w:eastAsia="宋体" w:cs="宋体"/>
          <w:color w:val="000000"/>
          <w:sz w:val="24"/>
          <w:szCs w:val="24"/>
        </w:rPr>
      </w:pPr>
    </w:p>
    <w:p w14:paraId="794EEE47">
      <w:pPr>
        <w:bidi w:val="0"/>
        <w:rPr>
          <w:rFonts w:hint="eastAsia" w:ascii="Times New Roman" w:hAnsi="Times New Roman" w:eastAsia="宋体" w:cs="Times New Roman"/>
          <w:kern w:val="2"/>
          <w:sz w:val="21"/>
          <w:szCs w:val="24"/>
          <w:lang w:val="en-US" w:eastAsia="zh-CN" w:bidi="ar-SA"/>
        </w:rPr>
      </w:pPr>
    </w:p>
    <w:p w14:paraId="1CC7429D">
      <w:pPr>
        <w:bidi w:val="0"/>
        <w:rPr>
          <w:rFonts w:hint="eastAsia"/>
          <w:lang w:val="en-US" w:eastAsia="zh-CN"/>
        </w:rPr>
      </w:pPr>
    </w:p>
    <w:p w14:paraId="6A976CDD">
      <w:pPr>
        <w:bidi w:val="0"/>
        <w:rPr>
          <w:rFonts w:hint="eastAsia"/>
          <w:lang w:val="en-US" w:eastAsia="zh-CN"/>
        </w:rPr>
      </w:pPr>
    </w:p>
    <w:p w14:paraId="5DB35751">
      <w:pPr>
        <w:bidi w:val="0"/>
        <w:rPr>
          <w:rFonts w:hint="eastAsia"/>
          <w:lang w:val="en-US" w:eastAsia="zh-CN"/>
        </w:rPr>
      </w:pPr>
    </w:p>
    <w:sectPr>
      <w:headerReference r:id="rId9" w:type="default"/>
      <w:footerReference r:id="rId10" w:type="default"/>
      <w:pgSz w:w="11906" w:h="16838"/>
      <w:pgMar w:top="1417" w:right="1418" w:bottom="1417" w:left="1418" w:header="851" w:footer="850" w:gutter="340"/>
      <w:pgNumType w:fmt="decimal"/>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F388E">
    <w:pPr>
      <w:pStyle w:val="10"/>
      <w:rPr>
        <w:rFonts w:hint="eastAsia" w:eastAsia="宋体"/>
        <w:lang w:val="en-US" w:eastAsia="zh-CN"/>
      </w:rPr>
    </w:pP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22AE4">
    <w:pPr>
      <w:pStyle w:val="10"/>
      <w:rPr>
        <w:rFonts w:hint="eastAsia" w:eastAsia="宋体"/>
        <w:lang w:val="en-US" w:eastAsia="zh-CN"/>
      </w:rPr>
    </w:pPr>
    <w:r>
      <w:rPr>
        <w:sz w:val="18"/>
      </w:rPr>
      <w:pict>
        <v:rect id="文本框 5" o:spid="_x0000_s2049"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Hju4YDTAQAAngMAAA4AAAAAAAAAAQAgAAAAHwEA&#10;AGRycy9lMm9Eb2MueG1sUEsFBgAAAAAGAAYAWQEAAGQFAAAAAA==&#10;">
          <v:path/>
          <v:fill on="f" focussize="0,0"/>
          <v:stroke on="f"/>
          <v:imagedata o:title=""/>
          <o:lock v:ext="edit" aspectratio="f"/>
          <v:textbox inset="0mm,0mm,0mm,0mm" style="mso-fit-shape-to-text:t;">
            <w:txbxContent>
              <w:p w14:paraId="4E365636">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w:t>
                </w:r>
                <w:r>
                  <w:t xml:space="preserve"> 页</w:t>
                </w:r>
              </w:p>
            </w:txbxContent>
          </v:textbox>
        </v:rect>
      </w:pict>
    </w:r>
    <w:r>
      <w:rPr>
        <w:rFonts w:hint="eastAsia"/>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397F1">
    <w:pPr>
      <w:pStyle w:val="10"/>
    </w:pPr>
    <w:r>
      <w:rPr>
        <w:sz w:val="18"/>
      </w:rPr>
      <w:pict>
        <v:rect id="文本框 13" o:spid="_x0000_s2050"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4j74HSAQAAnwMAAA4AAABkcnMvZTJvRG9jLnhtbK1TS47TQBDdI3GH&#10;Vu+JnYB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mr8g113glLPb/8+H75+fvy&#10;6xtbvkwW9QErunkf7mDKkMKkd2jBpi8pYUO29Xy1VQ2RSdpcrlfrdUmOSzqbE8IpHp4HwPhOectS&#10;UHOgvmU7xekDxvHqfCVVMy6tzt9qY8bTtFMkmiOxFMVhP0xs9745k0yaegLvPHzlrKee19zRiHNm&#10;3juyNI3HHMAc7OdAOEkPax45OwbQhy6PUqKB4e0xEpXMMxUeq018qG9Z6TRjaTD+zvOth/9q+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iPvgdIBAACfAwAADgAAAAAAAAABACAAAAAfAQAA&#10;ZHJzL2Uyb0RvYy54bWxQSwUGAAAAAAYABgBZAQAAYwUAAAAA&#10;">
          <v:path/>
          <v:fill on="f" focussize="0,0"/>
          <v:stroke on="f"/>
          <v:imagedata o:title=""/>
          <o:lock v:ext="edit" aspectratio="f"/>
          <v:textbox inset="0mm,0mm,0mm,0mm" style="mso-fit-shape-to-text:t;">
            <w:txbxContent>
              <w:p w14:paraId="496E92E8">
                <w:pPr>
                  <w:pStyle w:val="10"/>
                </w:pPr>
                <w:r>
                  <w:t xml:space="preserve">第 </w:t>
                </w:r>
                <w:r>
                  <w:fldChar w:fldCharType="begin"/>
                </w:r>
                <w:r>
                  <w:instrText xml:space="preserve"> PAGE  \* MERGEFORMAT </w:instrText>
                </w:r>
                <w:r>
                  <w:fldChar w:fldCharType="separate"/>
                </w:r>
                <w:r>
                  <w:t>7</w:t>
                </w:r>
                <w:r>
                  <w:fldChar w:fldCharType="end"/>
                </w:r>
                <w:r>
                  <w:t xml:space="preserve"> 页 共 </w:t>
                </w:r>
                <w:r>
                  <w:rPr>
                    <w:rFonts w:hint="eastAsia"/>
                    <w:lang w:val="en-US" w:eastAsia="zh-CN"/>
                  </w:rPr>
                  <w:t>6</w:t>
                </w:r>
                <w:r>
                  <w:t xml:space="preserve"> 页</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9EF40">
    <w:pPr>
      <w:pStyle w:val="11"/>
      <w:pBdr>
        <w:bottom w:val="single" w:color="auto" w:sz="4" w:space="0"/>
      </w:pBdr>
      <w:spacing w:line="240" w:lineRule="auto"/>
      <w:jc w:val="both"/>
      <w:rPr>
        <w:rFonts w:hint="default"/>
        <w:lang w:val="en-US"/>
      </w:rPr>
    </w:pPr>
    <w:r>
      <w:rPr>
        <w:rFonts w:hint="eastAsia"/>
        <w:lang w:val="en-US" w:eastAsia="zh-CN"/>
      </w:rPr>
      <w:t>北京市第二医院伦理审查委员会           伦理审查委员会章程                        IRB ZD/01.01/01.0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85753">
    <w:pPr>
      <w:pStyle w:val="11"/>
      <w:pBdr>
        <w:bottom w:val="single" w:color="auto" w:sz="4" w:space="0"/>
      </w:pBdr>
      <w:spacing w:line="240" w:lineRule="auto"/>
      <w:jc w:val="both"/>
      <w:rPr>
        <w:rFonts w:hint="default"/>
        <w:lang w:val="en-US"/>
      </w:rPr>
    </w:pPr>
    <w:r>
      <w:rPr>
        <w:rFonts w:hint="eastAsia"/>
        <w:lang w:val="en-US" w:eastAsia="zh-CN"/>
      </w:rPr>
      <w:t>北京市第二医院伦理审查委员会           伦理审查委员会章程                            IRB ZD/01.01/01.0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52074">
    <w:pPr>
      <w:pStyle w:val="11"/>
      <w:pBdr>
        <w:bottom w:val="single" w:color="auto" w:sz="4" w:space="0"/>
      </w:pBdr>
      <w:spacing w:line="240" w:lineRule="auto"/>
      <w:jc w:val="both"/>
      <w:rPr>
        <w:rFonts w:hint="default"/>
        <w:lang w:val="en-US"/>
      </w:rPr>
    </w:pPr>
    <w:r>
      <w:rPr>
        <w:rFonts w:hint="eastAsia"/>
        <w:lang w:val="en-US" w:eastAsia="zh-CN"/>
      </w:rPr>
      <w:t>北京市第二医院伦理审查委员会           伦理审查委员会章程                        IRB ZD/01.01/01.0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E1037C9"/>
    <w:rsid w:val="10000D34"/>
    <w:rsid w:val="17756E0B"/>
    <w:rsid w:val="2405120A"/>
    <w:rsid w:val="243819E3"/>
    <w:rsid w:val="2B8F25A0"/>
    <w:rsid w:val="323C73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99"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spacing w:before="1"/>
      <w:ind w:left="1212" w:hanging="426"/>
      <w:outlineLvl w:val="0"/>
    </w:pPr>
    <w:rPr>
      <w:rFonts w:ascii="宋体" w:hAnsi="宋体" w:eastAsia="宋体" w:cs="宋体"/>
      <w:b/>
      <w:bCs/>
      <w:sz w:val="24"/>
      <w:szCs w:val="24"/>
      <w:lang w:val="zh-CN" w:eastAsia="zh-CN" w:bidi="zh-CN"/>
    </w:rPr>
  </w:style>
  <w:style w:type="paragraph" w:styleId="4">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character" w:default="1" w:styleId="15">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macro"/>
    <w:link w:val="18"/>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360" w:lineRule="auto"/>
      <w:jc w:val="both"/>
    </w:pPr>
    <w:rPr>
      <w:rFonts w:ascii="Courier New" w:hAnsi="Courier New" w:eastAsia="宋体" w:cs="Courier New"/>
      <w:kern w:val="2"/>
      <w:sz w:val="24"/>
      <w:szCs w:val="24"/>
      <w:lang w:val="en-US" w:eastAsia="zh-CN" w:bidi="ar-SA"/>
    </w:rPr>
  </w:style>
  <w:style w:type="paragraph" w:styleId="5">
    <w:name w:val="annotation text"/>
    <w:basedOn w:val="1"/>
    <w:qFormat/>
    <w:uiPriority w:val="99"/>
    <w:pPr>
      <w:jc w:val="left"/>
    </w:pPr>
  </w:style>
  <w:style w:type="paragraph" w:styleId="6">
    <w:name w:val="Body Text"/>
    <w:basedOn w:val="1"/>
    <w:link w:val="19"/>
    <w:qFormat/>
    <w:uiPriority w:val="0"/>
    <w:rPr>
      <w:sz w:val="24"/>
    </w:rPr>
  </w:style>
  <w:style w:type="paragraph" w:styleId="7">
    <w:name w:val="Body Text Indent"/>
    <w:basedOn w:val="1"/>
    <w:qFormat/>
    <w:uiPriority w:val="0"/>
    <w:pPr>
      <w:spacing w:after="120"/>
      <w:ind w:left="420" w:leftChars="200"/>
    </w:pPr>
  </w:style>
  <w:style w:type="paragraph" w:styleId="8">
    <w:name w:val="Plain Text"/>
    <w:basedOn w:val="1"/>
    <w:qFormat/>
    <w:uiPriority w:val="99"/>
    <w:rPr>
      <w:rFonts w:ascii="宋体" w:hAnsi="Courier New" w:cs="宋体"/>
    </w:rPr>
  </w:style>
  <w:style w:type="paragraph" w:styleId="9">
    <w:name w:val="Balloon Text"/>
    <w:basedOn w:val="1"/>
    <w:link w:val="20"/>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14">
    <w:name w:val="Table Grid"/>
    <w:basedOn w:val="13"/>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bCs/>
    </w:rPr>
  </w:style>
  <w:style w:type="character" w:styleId="17">
    <w:name w:val="Hyperlink"/>
    <w:qFormat/>
    <w:uiPriority w:val="99"/>
    <w:rPr>
      <w:rFonts w:cs="Times New Roman"/>
      <w:color w:val="333333"/>
      <w:u w:val="none"/>
    </w:rPr>
  </w:style>
  <w:style w:type="character" w:customStyle="1" w:styleId="18">
    <w:name w:val="宏文本 Char"/>
    <w:link w:val="2"/>
    <w:qFormat/>
    <w:uiPriority w:val="99"/>
    <w:rPr>
      <w:rFonts w:ascii="Courier New" w:hAnsi="Courier New" w:cs="Courier New"/>
      <w:kern w:val="2"/>
      <w:sz w:val="24"/>
      <w:szCs w:val="24"/>
      <w:lang w:val="en-US" w:eastAsia="zh-CN" w:bidi="ar-SA"/>
    </w:rPr>
  </w:style>
  <w:style w:type="character" w:customStyle="1" w:styleId="19">
    <w:name w:val="正文文本 Char"/>
    <w:link w:val="6"/>
    <w:qFormat/>
    <w:uiPriority w:val="0"/>
    <w:rPr>
      <w:rFonts w:ascii="Times New Roman" w:hAnsi="Times New Roman"/>
      <w:kern w:val="2"/>
      <w:sz w:val="24"/>
      <w:szCs w:val="24"/>
    </w:rPr>
  </w:style>
  <w:style w:type="character" w:customStyle="1" w:styleId="20">
    <w:name w:val="批注框文本 Char"/>
    <w:link w:val="9"/>
    <w:qFormat/>
    <w:uiPriority w:val="99"/>
    <w:rPr>
      <w:rFonts w:ascii="Times New Roman" w:hAnsi="Times New Roman"/>
      <w:kern w:val="2"/>
      <w:sz w:val="18"/>
      <w:szCs w:val="18"/>
    </w:rPr>
  </w:style>
  <w:style w:type="character" w:customStyle="1" w:styleId="21">
    <w:name w:val="页脚 Char"/>
    <w:link w:val="10"/>
    <w:qFormat/>
    <w:uiPriority w:val="99"/>
    <w:rPr>
      <w:rFonts w:ascii="Times New Roman" w:hAnsi="Times New Roman" w:eastAsia="宋体" w:cs="Times New Roman"/>
      <w:sz w:val="18"/>
      <w:szCs w:val="18"/>
    </w:rPr>
  </w:style>
  <w:style w:type="character" w:customStyle="1" w:styleId="22">
    <w:name w:val="页眉 Char"/>
    <w:link w:val="11"/>
    <w:qFormat/>
    <w:uiPriority w:val="0"/>
    <w:rPr>
      <w:rFonts w:ascii="Times New Roman" w:hAnsi="Times New Roman" w:eastAsia="宋体" w:cs="Times New Roman"/>
      <w:sz w:val="18"/>
      <w:szCs w:val="18"/>
    </w:rPr>
  </w:style>
  <w:style w:type="paragraph" w:customStyle="1" w:styleId="23">
    <w:name w:val="4"/>
    <w:basedOn w:val="1"/>
    <w:qFormat/>
    <w:uiPriority w:val="0"/>
    <w:pPr>
      <w:keepNext/>
      <w:keepLines/>
      <w:ind w:left="200" w:leftChars="200"/>
      <w:outlineLvl w:val="3"/>
    </w:pPr>
    <w:rPr>
      <w:rFonts w:eastAsia="黑体" w:cs="宋体"/>
      <w:b/>
      <w:bCs/>
      <w:kern w:val="0"/>
      <w:sz w:val="28"/>
      <w:szCs w:val="20"/>
    </w:rPr>
  </w:style>
  <w:style w:type="paragraph" w:customStyle="1" w:styleId="24">
    <w:name w:val="样式8"/>
    <w:basedOn w:val="1"/>
    <w:next w:val="1"/>
    <w:qFormat/>
    <w:uiPriority w:val="0"/>
  </w:style>
  <w:style w:type="paragraph" w:styleId="2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4747</Words>
  <Characters>4786</Characters>
  <Paragraphs>141</Paragraphs>
  <TotalTime>184</TotalTime>
  <ScaleCrop>false</ScaleCrop>
  <LinksUpToDate>false</LinksUpToDate>
  <CharactersWithSpaces>4842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2018-09-14T02:21:00Z</dcterms:created>
  <dc:creator>hp</dc:creator>
  <cp:lastModifiedBy>佶</cp:lastModifiedBy>
  <cp:lastPrinted>2003-08-16T11:59:00Z</cp:lastPrinted>
  <dcterms:modified xsi:type="dcterms:W3CDTF">2025-06-16T09:15:01Z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eyJoZGlkIjoiNDI1NGQ4MDY4NjMxYWVlMzc3ODM2NDE0MmU1ODUxYzYiLCJ1c2VySWQiOiIyMjA3MjkzMDYifQ==</vt:lpwstr>
  </property>
  <property fmtid="{D5CDD505-2E9C-101B-9397-08002B2CF9AE}" pid="4" name="ICV">
    <vt:lpwstr>AC45C758F0CE497680B342A203F28CB7_13</vt:lpwstr>
  </property>
</Properties>
</file>