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jc w:val="center"/>
        <w:tblLayout w:type="autofit"/>
        <w:tblCellMar>
          <w:top w:w="0" w:type="dxa"/>
          <w:left w:w="108" w:type="dxa"/>
          <w:bottom w:w="0" w:type="dxa"/>
          <w:right w:w="108" w:type="dxa"/>
        </w:tblCellMar>
      </w:tblPr>
      <w:tblGrid>
        <w:gridCol w:w="494"/>
        <w:gridCol w:w="644"/>
        <w:gridCol w:w="804"/>
        <w:gridCol w:w="760"/>
        <w:gridCol w:w="383"/>
        <w:gridCol w:w="653"/>
        <w:gridCol w:w="1614"/>
        <w:gridCol w:w="692"/>
        <w:gridCol w:w="193"/>
        <w:gridCol w:w="634"/>
        <w:gridCol w:w="61"/>
        <w:gridCol w:w="481"/>
        <w:gridCol w:w="418"/>
        <w:gridCol w:w="691"/>
      </w:tblGrid>
      <w:tr>
        <w:tblPrEx>
          <w:tblCellMar>
            <w:top w:w="0" w:type="dxa"/>
            <w:left w:w="108" w:type="dxa"/>
            <w:bottom w:w="0" w:type="dxa"/>
            <w:right w:w="108" w:type="dxa"/>
          </w:tblCellMar>
        </w:tblPrEx>
        <w:trPr>
          <w:trHeight w:val="440" w:hRule="exact"/>
          <w:jc w:val="center"/>
        </w:trPr>
        <w:tc>
          <w:tcPr>
            <w:tcW w:w="5000" w:type="pct"/>
            <w:gridSpan w:val="14"/>
            <w:tcBorders>
              <w:top w:val="nil"/>
              <w:left w:val="nil"/>
              <w:bottom w:val="nil"/>
              <w:right w:val="nil"/>
            </w:tcBorders>
            <w:vAlign w:val="center"/>
          </w:tcPr>
          <w:p>
            <w:pPr>
              <w:widowControl/>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4"/>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r>
        <w:tblPrEx>
          <w:tblCellMar>
            <w:top w:w="0" w:type="dxa"/>
            <w:left w:w="108" w:type="dxa"/>
            <w:bottom w:w="0" w:type="dxa"/>
            <w:right w:w="108" w:type="dxa"/>
          </w:tblCellMar>
        </w:tblPrEx>
        <w:trPr>
          <w:trHeight w:val="291" w:hRule="exact"/>
          <w:jc w:val="center"/>
        </w:trPr>
        <w:tc>
          <w:tcPr>
            <w:tcW w:w="66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332" w:type="pct"/>
            <w:gridSpan w:val="1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离退休党支部委员补贴</w:t>
            </w:r>
          </w:p>
        </w:tc>
      </w:tr>
      <w:tr>
        <w:tblPrEx>
          <w:tblCellMar>
            <w:top w:w="0" w:type="dxa"/>
            <w:left w:w="108" w:type="dxa"/>
            <w:bottom w:w="0" w:type="dxa"/>
            <w:right w:w="108" w:type="dxa"/>
          </w:tblCellMar>
        </w:tblPrEx>
        <w:trPr>
          <w:trHeight w:val="291" w:hRule="exact"/>
          <w:jc w:val="center"/>
        </w:trPr>
        <w:tc>
          <w:tcPr>
            <w:tcW w:w="66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472" w:type="pct"/>
            <w:gridSpan w:val="5"/>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454" w:type="pct"/>
            <w:gridSpan w:val="6"/>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66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918"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60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94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521" w:type="pct"/>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527"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6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918" w:type="pct"/>
            <w:gridSpan w:val="2"/>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0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0.48</w:t>
            </w:r>
          </w:p>
        </w:tc>
        <w:tc>
          <w:tcPr>
            <w:tcW w:w="94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0.48</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0.48</w:t>
            </w:r>
          </w:p>
        </w:tc>
        <w:tc>
          <w:tcPr>
            <w:tcW w:w="521" w:type="pct"/>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7"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6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918"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0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0.48</w:t>
            </w:r>
          </w:p>
        </w:tc>
        <w:tc>
          <w:tcPr>
            <w:tcW w:w="94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0.48</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0.48</w:t>
            </w:r>
          </w:p>
        </w:tc>
        <w:tc>
          <w:tcPr>
            <w:tcW w:w="521" w:type="pct"/>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527"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6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918"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0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94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521" w:type="pct"/>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527"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66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918"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0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94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521" w:type="pct"/>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527"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06"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290" w:type="pct"/>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850" w:type="pct"/>
            <w:gridSpan w:val="6"/>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860" w:type="pct"/>
            <w:gridSpan w:val="7"/>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1575" w:hRule="exact"/>
          <w:jc w:val="center"/>
        </w:trPr>
        <w:tc>
          <w:tcPr>
            <w:tcW w:w="290"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2850" w:type="pct"/>
            <w:gridSpan w:val="6"/>
            <w:tcBorders>
              <w:top w:val="single" w:color="auto" w:sz="4" w:space="0"/>
              <w:left w:val="nil"/>
              <w:bottom w:val="single" w:color="auto" w:sz="4" w:space="0"/>
              <w:right w:val="single" w:color="auto" w:sz="4" w:space="0"/>
            </w:tcBorders>
            <w:vAlign w:val="center"/>
          </w:tcPr>
          <w:p>
            <w:pPr>
              <w:widowControl/>
              <w:jc w:val="left"/>
              <w:rPr>
                <w:rFonts w:cs="仿宋" w:asciiTheme="minorEastAsia" w:hAnsiTheme="minorEastAsia"/>
                <w:kern w:val="0"/>
                <w:sz w:val="18"/>
                <w:szCs w:val="18"/>
              </w:rPr>
            </w:pPr>
            <w:r>
              <w:rPr>
                <w:rFonts w:hint="eastAsia" w:cs="仿宋" w:asciiTheme="minorEastAsia" w:hAnsiTheme="minorEastAsia"/>
                <w:kern w:val="0"/>
                <w:sz w:val="18"/>
                <w:szCs w:val="18"/>
              </w:rPr>
              <w:t>目标1：根据上级文件要求，2020年起统一列入各单位财政预算,由各财政预算单位申请预算。2021年医院两位离退休支部委员享受200元/月补助，两人总计4800元。</w:t>
            </w:r>
          </w:p>
          <w:p>
            <w:pPr>
              <w:widowControl/>
              <w:jc w:val="left"/>
              <w:rPr>
                <w:rFonts w:cs="宋体" w:asciiTheme="minorEastAsia" w:hAnsiTheme="minorEastAsia"/>
                <w:kern w:val="0"/>
                <w:sz w:val="18"/>
                <w:szCs w:val="18"/>
              </w:rPr>
            </w:pPr>
          </w:p>
        </w:tc>
        <w:tc>
          <w:tcPr>
            <w:tcW w:w="1860" w:type="pct"/>
            <w:gridSpan w:val="7"/>
            <w:tcBorders>
              <w:top w:val="single" w:color="auto" w:sz="4" w:space="0"/>
              <w:left w:val="nil"/>
              <w:bottom w:val="single" w:color="auto" w:sz="4" w:space="0"/>
              <w:right w:val="single" w:color="auto" w:sz="4" w:space="0"/>
            </w:tcBorders>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目标1：</w:t>
            </w:r>
            <w:r>
              <w:rPr>
                <w:rFonts w:hint="eastAsia" w:cs="仿宋" w:asciiTheme="minorEastAsia" w:hAnsiTheme="minorEastAsia"/>
                <w:kern w:val="0"/>
                <w:sz w:val="18"/>
                <w:szCs w:val="18"/>
              </w:rPr>
              <w:t>根据上级文件要求，2020年起统一列入各单位财政预算,由各财政预算单位申请预算。2021年医院两位离退休支部委员享受200元/月补助，两人总计4800元。</w:t>
            </w:r>
          </w:p>
        </w:tc>
      </w:tr>
      <w:tr>
        <w:tblPrEx>
          <w:tblCellMar>
            <w:top w:w="0" w:type="dxa"/>
            <w:left w:w="108" w:type="dxa"/>
            <w:bottom w:w="0" w:type="dxa"/>
            <w:right w:w="108" w:type="dxa"/>
          </w:tblCellMar>
        </w:tblPrEx>
        <w:trPr>
          <w:trHeight w:val="957" w:hRule="exact"/>
          <w:jc w:val="center"/>
        </w:trPr>
        <w:tc>
          <w:tcPr>
            <w:tcW w:w="290" w:type="pct"/>
            <w:vMerge w:val="restart"/>
            <w:tcBorders>
              <w:top w:val="nil"/>
              <w:left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378"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4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839"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指标1：执行项目人数</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按照实际情况执行2人相关待遇</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2人</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90"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指标1：执行项目金额</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按照批复标准执行每人每月200元</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每人每月200元</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74"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指标1：执行项目总额</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按照要求实名制兑现4800元</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4800元</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41"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指标1：执行预算资金</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执行预算资金</w:t>
            </w:r>
          </w:p>
        </w:tc>
        <w:tc>
          <w:tcPr>
            <w:tcW w:w="519" w:type="pct"/>
            <w:gridSpan w:val="2"/>
            <w:tcBorders>
              <w:top w:val="nil"/>
              <w:left w:val="nil"/>
              <w:bottom w:val="single" w:color="auto" w:sz="4" w:space="0"/>
              <w:right w:val="single" w:color="auto" w:sz="4" w:space="0"/>
            </w:tcBorders>
            <w:vAlign w:val="center"/>
          </w:tcPr>
          <w:p>
            <w:pPr>
              <w:widowControl/>
              <w:ind w:firstLine="180" w:firstLineChars="100"/>
              <w:rPr>
                <w:rFonts w:cs="宋体" w:asciiTheme="minorEastAsia" w:hAnsiTheme="minorEastAsia"/>
                <w:kern w:val="0"/>
                <w:sz w:val="18"/>
                <w:szCs w:val="18"/>
              </w:rPr>
            </w:pPr>
            <w:r>
              <w:rPr>
                <w:rFonts w:hint="eastAsia" w:cs="宋体" w:asciiTheme="minorEastAsia" w:hAnsiTheme="minorEastAsia"/>
                <w:kern w:val="0"/>
                <w:sz w:val="18"/>
                <w:szCs w:val="18"/>
              </w:rPr>
              <w:t>4800元</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94"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指标1：无</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不涉及</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897"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指标1：执行项目目的</w:t>
            </w:r>
          </w:p>
        </w:tc>
        <w:tc>
          <w:tcPr>
            <w:tcW w:w="1330" w:type="pct"/>
            <w:gridSpan w:val="2"/>
            <w:tcBorders>
              <w:top w:val="nil"/>
              <w:left w:val="nil"/>
              <w:bottom w:val="single" w:color="auto" w:sz="4" w:space="0"/>
              <w:right w:val="single" w:color="auto" w:sz="4" w:space="0"/>
            </w:tcBorders>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通过项目执行稳定退休支部工作建设，为退休支部老党员开展各项党建工作起到推动作用，能够团结退休支部党员积极组织参与党建，传播正能量。</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稳定支部工作建设</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54"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指标1：无</w:t>
            </w:r>
          </w:p>
        </w:tc>
        <w:tc>
          <w:tcPr>
            <w:tcW w:w="1330"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不涉及</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288"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472" w:type="pc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指标1：执行项目意义</w:t>
            </w:r>
          </w:p>
        </w:tc>
        <w:tc>
          <w:tcPr>
            <w:tcW w:w="1330" w:type="pct"/>
            <w:gridSpan w:val="2"/>
            <w:tcBorders>
              <w:top w:val="nil"/>
              <w:left w:val="nil"/>
              <w:bottom w:val="single" w:color="auto" w:sz="4" w:space="0"/>
              <w:right w:val="single" w:color="auto" w:sz="4" w:space="0"/>
            </w:tcBorders>
            <w:vAlign w:val="center"/>
          </w:tcPr>
          <w:p>
            <w:pPr>
              <w:widowControl/>
              <w:rPr>
                <w:rFonts w:cs="宋体" w:asciiTheme="minorEastAsia" w:hAnsiTheme="minorEastAsia"/>
                <w:kern w:val="0"/>
                <w:sz w:val="18"/>
                <w:szCs w:val="18"/>
              </w:rPr>
            </w:pPr>
            <w:r>
              <w:rPr>
                <w:rFonts w:hint="eastAsia" w:cs="宋体" w:asciiTheme="minorEastAsia" w:hAnsiTheme="minorEastAsia"/>
                <w:kern w:val="0"/>
                <w:sz w:val="18"/>
                <w:szCs w:val="18"/>
              </w:rPr>
              <w:t>退休党员支部建设工作是一项长期发展规划，针对老同志的党建工作能够发挥良好的作用，符合健康中国发展规划，能够有效的引领党员思想建设，有效传递红色正能量。</w:t>
            </w:r>
          </w:p>
        </w:tc>
        <w:tc>
          <w:tcPr>
            <w:tcW w:w="519"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退休支部工作健康发展</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84" w:hRule="exact"/>
          <w:jc w:val="center"/>
        </w:trPr>
        <w:tc>
          <w:tcPr>
            <w:tcW w:w="290" w:type="pct"/>
            <w:vMerge w:val="continue"/>
            <w:tcBorders>
              <w:left w:val="single" w:color="auto" w:sz="4" w:space="0"/>
              <w:right w:val="single" w:color="auto" w:sz="4" w:space="0"/>
            </w:tcBorders>
            <w:vAlign w:val="center"/>
          </w:tcPr>
          <w:p>
            <w:pPr>
              <w:widowControl/>
              <w:jc w:val="center"/>
              <w:rPr>
                <w:rFonts w:cs="宋体" w:asciiTheme="minorEastAsia" w:hAnsiTheme="minorEastAsia"/>
                <w:kern w:val="0"/>
                <w:sz w:val="18"/>
                <w:szCs w:val="18"/>
              </w:rPr>
            </w:pPr>
          </w:p>
        </w:tc>
        <w:tc>
          <w:tcPr>
            <w:tcW w:w="378" w:type="pc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72"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671" w:type="pct"/>
            <w:gridSpan w:val="2"/>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指标1：执行项目满意度</w:t>
            </w:r>
          </w:p>
        </w:tc>
        <w:tc>
          <w:tcPr>
            <w:tcW w:w="1330"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退休支部党员满意度达100%</w:t>
            </w:r>
          </w:p>
        </w:tc>
        <w:tc>
          <w:tcPr>
            <w:tcW w:w="519"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72" w:type="pct"/>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8"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398" w:hRule="exact"/>
          <w:jc w:val="center"/>
        </w:trPr>
        <w:tc>
          <w:tcPr>
            <w:tcW w:w="3659" w:type="pct"/>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372" w:type="pct"/>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318" w:type="pct"/>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651" w:type="pct"/>
            <w:gridSpan w:val="2"/>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 w:val="18"/>
                <w:szCs w:val="18"/>
              </w:rPr>
            </w:pPr>
          </w:p>
        </w:tc>
      </w:tr>
    </w:tbl>
    <w:p/>
    <w:p/>
    <w:p/>
    <w:p/>
    <w:p/>
    <w:p/>
    <w:tbl>
      <w:tblPr>
        <w:tblStyle w:val="4"/>
        <w:tblW w:w="5000" w:type="pct"/>
        <w:jc w:val="center"/>
        <w:tblLayout w:type="autofit"/>
        <w:tblCellMar>
          <w:top w:w="0" w:type="dxa"/>
          <w:left w:w="108" w:type="dxa"/>
          <w:bottom w:w="0" w:type="dxa"/>
          <w:right w:w="108" w:type="dxa"/>
        </w:tblCellMar>
      </w:tblPr>
      <w:tblGrid>
        <w:gridCol w:w="552"/>
        <w:gridCol w:w="919"/>
        <w:gridCol w:w="1043"/>
        <w:gridCol w:w="685"/>
        <w:gridCol w:w="1064"/>
        <w:gridCol w:w="266"/>
        <w:gridCol w:w="801"/>
        <w:gridCol w:w="799"/>
        <w:gridCol w:w="264"/>
        <w:gridCol w:w="268"/>
        <w:gridCol w:w="397"/>
        <w:gridCol w:w="135"/>
        <w:gridCol w:w="663"/>
        <w:gridCol w:w="666"/>
      </w:tblGrid>
      <w:tr>
        <w:tblPrEx>
          <w:tblCellMar>
            <w:top w:w="0" w:type="dxa"/>
            <w:left w:w="108" w:type="dxa"/>
            <w:bottom w:w="0" w:type="dxa"/>
            <w:right w:w="108" w:type="dxa"/>
          </w:tblCellMar>
        </w:tblPrEx>
        <w:trPr>
          <w:trHeight w:val="440" w:hRule="exact"/>
          <w:jc w:val="center"/>
        </w:trPr>
        <w:tc>
          <w:tcPr>
            <w:tcW w:w="5000" w:type="pct"/>
            <w:gridSpan w:val="14"/>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4"/>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  2024  年度）</w:t>
            </w:r>
          </w:p>
        </w:tc>
      </w:tr>
      <w:tr>
        <w:tblPrEx>
          <w:tblCellMar>
            <w:top w:w="0" w:type="dxa"/>
            <w:left w:w="108" w:type="dxa"/>
            <w:bottom w:w="0" w:type="dxa"/>
            <w:right w:w="108" w:type="dxa"/>
          </w:tblCellMar>
        </w:tblPrEx>
        <w:trPr>
          <w:trHeight w:val="291" w:hRule="exact"/>
          <w:jc w:val="center"/>
        </w:trPr>
        <w:tc>
          <w:tcPr>
            <w:tcW w:w="863"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137" w:type="pct"/>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第二医院小型修缮补助项目</w:t>
            </w:r>
          </w:p>
        </w:tc>
      </w:tr>
      <w:tr>
        <w:tblPrEx>
          <w:tblCellMar>
            <w:top w:w="0" w:type="dxa"/>
            <w:left w:w="108" w:type="dxa"/>
            <w:bottom w:w="0" w:type="dxa"/>
            <w:right w:w="108" w:type="dxa"/>
          </w:tblCellMar>
        </w:tblPrEx>
        <w:trPr>
          <w:trHeight w:val="291" w:hRule="exact"/>
          <w:jc w:val="center"/>
        </w:trPr>
        <w:tc>
          <w:tcPr>
            <w:tcW w:w="863"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264"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49"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rPr>
          <w:trHeight w:val="291" w:hRule="exact"/>
          <w:jc w:val="center"/>
        </w:trPr>
        <w:tc>
          <w:tcPr>
            <w:tcW w:w="86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324"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803"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873"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1550" w:hRule="exact"/>
          <w:jc w:val="center"/>
        </w:trPr>
        <w:tc>
          <w:tcPr>
            <w:tcW w:w="32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03" w:type="pct"/>
            <w:gridSpan w:val="6"/>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 xml:space="preserve">随着时间的推移，医院部分设备使用年限较长，安全系数下降，安全隐患频出，已不能满足现行各项规范要求，也不能保证医院安全运行。通过该项目的实施将从电梯升级、消火栓、区域防火门、电梯安全管控、液氧安全、供热安全、电力控制柜安全以及门禁系统方面有力改善安全设施情况。   </w:t>
            </w:r>
          </w:p>
          <w:p>
            <w:pPr>
              <w:widowControl/>
              <w:spacing w:line="240" w:lineRule="exact"/>
              <w:jc w:val="center"/>
              <w:rPr>
                <w:rFonts w:cs="宋体" w:asciiTheme="minorEastAsia" w:hAnsiTheme="minorEastAsia"/>
                <w:kern w:val="0"/>
                <w:sz w:val="18"/>
                <w:szCs w:val="18"/>
              </w:rPr>
            </w:pPr>
          </w:p>
        </w:tc>
        <w:tc>
          <w:tcPr>
            <w:tcW w:w="1873" w:type="pct"/>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完成部分区域消火栓，完成供热维修的勘察、完成电力柜配件安装、电梯升级等。</w:t>
            </w:r>
          </w:p>
        </w:tc>
      </w:tr>
      <w:tr>
        <w:tblPrEx>
          <w:tblCellMar>
            <w:top w:w="0" w:type="dxa"/>
            <w:left w:w="108" w:type="dxa"/>
            <w:bottom w:w="0" w:type="dxa"/>
            <w:right w:w="108" w:type="dxa"/>
          </w:tblCellMar>
        </w:tblPrEx>
        <w:trPr>
          <w:trHeight w:val="629" w:hRule="exact"/>
          <w:jc w:val="center"/>
        </w:trPr>
        <w:tc>
          <w:tcPr>
            <w:tcW w:w="324"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61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61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指标1：完成防火门维修</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48</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48</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指标2：完成电梯升级</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指标3：完成层门禁安装</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指标1：符合医院安全验收</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指标2：符合质量验收</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指标1：完工及时率</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指标1：投入成本</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162</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79"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指标1：改善医院安全性侧面增加医院门诊量</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78"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指标1：提升医院满意度</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大于90%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大于90%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指标1：提升楼宇可靠性</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指标1：提升楼宇安全性</w:t>
            </w:r>
          </w:p>
        </w:tc>
        <w:tc>
          <w:tcPr>
            <w:tcW w:w="47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tcBorders>
              <w:top w:val="single" w:color="auto" w:sz="4" w:space="0"/>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1182"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指标1：患者满意度</w:t>
            </w:r>
          </w:p>
        </w:tc>
        <w:tc>
          <w:tcPr>
            <w:tcW w:w="47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rPr>
          <w:trHeight w:val="291" w:hRule="exact"/>
          <w:jc w:val="center"/>
        </w:trPr>
        <w:tc>
          <w:tcPr>
            <w:tcW w:w="3595"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Pr>
        <w:rPr>
          <w:rFonts w:ascii="仿宋_GB2312" w:hAnsi="Times New Roman" w:eastAsia="仿宋_GB2312" w:cs="Times New Roman"/>
          <w:b/>
          <w:sz w:val="32"/>
          <w:szCs w:val="32"/>
        </w:rPr>
      </w:pPr>
    </w:p>
    <w:p>
      <w:pPr>
        <w:rPr>
          <w:rFonts w:ascii="仿宋_GB2312" w:hAnsi="Times New Roman" w:eastAsia="仿宋_GB2312" w:cs="Times New Roman"/>
          <w:b/>
          <w:sz w:val="32"/>
          <w:szCs w:val="32"/>
        </w:rPr>
      </w:pPr>
    </w:p>
    <w:tbl>
      <w:tblPr>
        <w:tblStyle w:val="4"/>
        <w:tblW w:w="5000" w:type="pct"/>
        <w:jc w:val="center"/>
        <w:tblLayout w:type="autofit"/>
        <w:tblCellMar>
          <w:top w:w="0" w:type="dxa"/>
          <w:left w:w="108" w:type="dxa"/>
          <w:bottom w:w="0" w:type="dxa"/>
          <w:right w:w="108" w:type="dxa"/>
        </w:tblCellMar>
      </w:tblPr>
      <w:tblGrid>
        <w:gridCol w:w="552"/>
        <w:gridCol w:w="919"/>
        <w:gridCol w:w="1043"/>
        <w:gridCol w:w="685"/>
        <w:gridCol w:w="1064"/>
        <w:gridCol w:w="244"/>
        <w:gridCol w:w="823"/>
        <w:gridCol w:w="799"/>
        <w:gridCol w:w="264"/>
        <w:gridCol w:w="268"/>
        <w:gridCol w:w="397"/>
        <w:gridCol w:w="135"/>
        <w:gridCol w:w="663"/>
        <w:gridCol w:w="666"/>
      </w:tblGrid>
      <w:tr>
        <w:tblPrEx>
          <w:tblCellMar>
            <w:top w:w="0" w:type="dxa"/>
            <w:left w:w="108" w:type="dxa"/>
            <w:bottom w:w="0" w:type="dxa"/>
            <w:right w:w="108" w:type="dxa"/>
          </w:tblCellMar>
        </w:tblPrEx>
        <w:trPr>
          <w:trHeight w:val="440" w:hRule="exact"/>
          <w:jc w:val="center"/>
        </w:trPr>
        <w:tc>
          <w:tcPr>
            <w:tcW w:w="5000" w:type="pct"/>
            <w:gridSpan w:val="14"/>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4"/>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  2024  年度）</w:t>
            </w:r>
          </w:p>
        </w:tc>
      </w:tr>
      <w:tr>
        <w:tblPrEx>
          <w:tblCellMar>
            <w:top w:w="0" w:type="dxa"/>
            <w:left w:w="108" w:type="dxa"/>
            <w:bottom w:w="0" w:type="dxa"/>
            <w:right w:w="108" w:type="dxa"/>
          </w:tblCellMar>
        </w:tblPrEx>
        <w:trPr>
          <w:trHeight w:val="291" w:hRule="exact"/>
          <w:jc w:val="center"/>
        </w:trPr>
        <w:tc>
          <w:tcPr>
            <w:tcW w:w="863"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137" w:type="pct"/>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诊疗安全服务提升项目</w:t>
            </w:r>
          </w:p>
        </w:tc>
      </w:tr>
      <w:tr>
        <w:tblPrEx>
          <w:tblCellMar>
            <w:top w:w="0" w:type="dxa"/>
            <w:left w:w="108" w:type="dxa"/>
            <w:bottom w:w="0" w:type="dxa"/>
            <w:right w:w="108" w:type="dxa"/>
          </w:tblCellMar>
        </w:tblPrEx>
        <w:trPr>
          <w:trHeight w:val="291" w:hRule="exact"/>
          <w:jc w:val="center"/>
        </w:trPr>
        <w:tc>
          <w:tcPr>
            <w:tcW w:w="863"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264"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49"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第二医院</w:t>
            </w:r>
          </w:p>
        </w:tc>
      </w:tr>
      <w:tr>
        <w:tblPrEx>
          <w:tblCellMar>
            <w:top w:w="0" w:type="dxa"/>
            <w:left w:w="108" w:type="dxa"/>
            <w:bottom w:w="0" w:type="dxa"/>
            <w:right w:w="108" w:type="dxa"/>
          </w:tblCellMar>
        </w:tblPrEx>
        <w:trPr>
          <w:trHeight w:val="291" w:hRule="exact"/>
          <w:jc w:val="center"/>
        </w:trPr>
        <w:tc>
          <w:tcPr>
            <w:tcW w:w="86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8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1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24"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6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2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324"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803"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873"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819" w:hRule="exact"/>
          <w:jc w:val="center"/>
        </w:trPr>
        <w:tc>
          <w:tcPr>
            <w:tcW w:w="32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03"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完成诊疗安全相关家具的配置，从医院候诊区、办公区、就诊区等全方位提升医院的安全性，并侧面提升医院整体形象，提高患者满意度</w:t>
            </w:r>
          </w:p>
        </w:tc>
        <w:tc>
          <w:tcPr>
            <w:tcW w:w="1873"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完成各类家具的调研工作，并联合护理部、门办、院办等科室，拟定详细的需求参数。样品选品完备。</w:t>
            </w:r>
          </w:p>
        </w:tc>
      </w:tr>
      <w:tr>
        <w:trPr>
          <w:trHeight w:val="517" w:hRule="exact"/>
          <w:jc w:val="center"/>
        </w:trPr>
        <w:tc>
          <w:tcPr>
            <w:tcW w:w="324"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61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61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指标1：选品调研</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846</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846</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指标2：送货安装</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864</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864</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指标1：符合国家标准</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指标2：符合医院需求</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指标1：完工及时率</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指标1：投入成本</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79"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指标1：改善诊疗环境侧面增加医院门诊量</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78"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指标1：提升满意度</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大于90%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大于90%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指标1：提升舒适性</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指标1：提升就诊安全性</w:t>
            </w:r>
          </w:p>
        </w:tc>
        <w:tc>
          <w:tcPr>
            <w:tcW w:w="48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tcBorders>
              <w:top w:val="single" w:color="auto" w:sz="4" w:space="0"/>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1169"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指标1：患者满意度</w:t>
            </w:r>
          </w:p>
        </w:tc>
        <w:tc>
          <w:tcPr>
            <w:tcW w:w="483"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6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595"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78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tbl>
      <w:tblPr>
        <w:tblStyle w:val="4"/>
        <w:tblW w:w="5000" w:type="pct"/>
        <w:jc w:val="center"/>
        <w:tblLayout w:type="fixed"/>
        <w:tblCellMar>
          <w:top w:w="0" w:type="dxa"/>
          <w:left w:w="108" w:type="dxa"/>
          <w:bottom w:w="0" w:type="dxa"/>
          <w:right w:w="108" w:type="dxa"/>
        </w:tblCellMar>
      </w:tblPr>
      <w:tblGrid>
        <w:gridCol w:w="495"/>
        <w:gridCol w:w="465"/>
        <w:gridCol w:w="189"/>
        <w:gridCol w:w="782"/>
        <w:gridCol w:w="782"/>
        <w:gridCol w:w="227"/>
        <w:gridCol w:w="1137"/>
        <w:gridCol w:w="1135"/>
        <w:gridCol w:w="506"/>
        <w:gridCol w:w="627"/>
        <w:gridCol w:w="198"/>
        <w:gridCol w:w="511"/>
        <w:gridCol w:w="377"/>
        <w:gridCol w:w="474"/>
        <w:gridCol w:w="617"/>
      </w:tblGrid>
      <w:tr>
        <w:tblPrEx>
          <w:tblCellMar>
            <w:top w:w="0" w:type="dxa"/>
            <w:left w:w="108" w:type="dxa"/>
            <w:bottom w:w="0" w:type="dxa"/>
            <w:right w:w="108" w:type="dxa"/>
          </w:tblCellMar>
        </w:tblPrEx>
        <w:trPr>
          <w:trHeight w:val="440" w:hRule="exact"/>
          <w:jc w:val="center"/>
        </w:trPr>
        <w:tc>
          <w:tcPr>
            <w:tcW w:w="5000" w:type="pct"/>
            <w:gridSpan w:val="15"/>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5"/>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r>
        <w:tblPrEx>
          <w:tblCellMar>
            <w:top w:w="0" w:type="dxa"/>
            <w:left w:w="108" w:type="dxa"/>
            <w:bottom w:w="0" w:type="dxa"/>
            <w:right w:w="108" w:type="dxa"/>
          </w:tblCellMar>
        </w:tblPrEx>
        <w:trPr>
          <w:trHeight w:val="291" w:hRule="exact"/>
          <w:jc w:val="center"/>
        </w:trPr>
        <w:tc>
          <w:tcPr>
            <w:tcW w:w="563"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437" w:type="pct"/>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两癌筛查及长效体检</w:t>
            </w:r>
          </w:p>
        </w:tc>
      </w:tr>
      <w:tr>
        <w:tblPrEx>
          <w:tblCellMar>
            <w:top w:w="0" w:type="dxa"/>
            <w:left w:w="108" w:type="dxa"/>
            <w:bottom w:w="0" w:type="dxa"/>
            <w:right w:w="108" w:type="dxa"/>
          </w:tblCellMar>
        </w:tblPrEx>
        <w:trPr>
          <w:trHeight w:val="291" w:hRule="exact"/>
          <w:jc w:val="center"/>
        </w:trPr>
        <w:tc>
          <w:tcPr>
            <w:tcW w:w="563"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495"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77"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56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162" w:type="pct"/>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9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5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2" w:type="pct"/>
            <w:gridSpan w:val="4"/>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6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37.9030</w:t>
            </w: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11.47065</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11.47065</w:t>
            </w: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9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5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2" w:type="pct"/>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6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37.9030</w:t>
            </w: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11.47065</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11.47065</w:t>
            </w:r>
          </w:p>
        </w:tc>
        <w:tc>
          <w:tcPr>
            <w:tcW w:w="416" w:type="pct"/>
            <w:gridSpan w:val="2"/>
            <w:tcBorders>
              <w:top w:val="nil"/>
              <w:left w:val="nil"/>
              <w:bottom w:val="single" w:color="auto" w:sz="4" w:space="0"/>
              <w:right w:val="single" w:color="auto" w:sz="4" w:space="0"/>
            </w:tcBorders>
            <w:vAlign w:val="center"/>
          </w:tcPr>
          <w:p>
            <w:pPr>
              <w:widowControl/>
              <w:spacing w:line="240" w:lineRule="exact"/>
              <w:ind w:firstLine="360" w:firstLineChars="200"/>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9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62" w:type="pct"/>
            <w:tcBorders>
              <w:top w:val="nil"/>
              <w:left w:val="nil"/>
              <w:bottom w:val="single" w:color="auto" w:sz="4" w:space="0"/>
              <w:right w:val="single" w:color="auto" w:sz="4" w:space="0"/>
            </w:tcBorders>
            <w:vAlign w:val="center"/>
          </w:tcPr>
          <w:p>
            <w:pPr>
              <w:widowControl/>
              <w:spacing w:line="240" w:lineRule="exact"/>
              <w:ind w:firstLine="180" w:firstLineChars="100"/>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5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2" w:type="pct"/>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6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56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2" w:type="pct"/>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6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290"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768"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942"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1805" w:hRule="exact"/>
          <w:jc w:val="center"/>
        </w:trPr>
        <w:tc>
          <w:tcPr>
            <w:tcW w:w="290"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8" w:type="pct"/>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为落实生命全周期健康保障，深化医药卫生体制改革，推行妇幼健康便民措施，提高广大妇女生殖健康水平，和长效节育户籍已婚育龄人群免费健康体检（简称“长效体检”）进行优化整合，持续开展适龄妇女“两癌”筛查工作，完成北京市免费宫颈癌、乳腺癌筛查任务，提高筛查质量，实现癌症早发现、早治疗，完成159例两癌筛查</w:t>
            </w:r>
          </w:p>
        </w:tc>
        <w:tc>
          <w:tcPr>
            <w:tcW w:w="1942" w:type="pct"/>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完成北京市免费宫颈癌、乳腺癌筛查任务，提高筛查质量，实现癌症早发现、早治疗已完成159例两癌筛查人员。</w:t>
            </w:r>
          </w:p>
          <w:p>
            <w:pPr>
              <w:widowControl/>
              <w:spacing w:line="240" w:lineRule="exact"/>
              <w:jc w:val="left"/>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562" w:hRule="exact"/>
          <w:jc w:val="center"/>
        </w:trPr>
        <w:tc>
          <w:tcPr>
            <w:tcW w:w="290"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3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45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3696"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45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完成北京市免费宫颈癌、乳腺癌筛查任务，完成指定区域内适龄人员筛查工作，预计完成159例</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159</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由于北京市免费两癌筛查工作的政策调整，符合2024年两癌筛查条件人员较少。改进措施：增加宣传力度，提升辖区适龄妇女相关意识。</w:t>
            </w:r>
          </w:p>
        </w:tc>
      </w:tr>
      <w:tr>
        <w:tblPrEx>
          <w:tblCellMar>
            <w:top w:w="0" w:type="dxa"/>
            <w:left w:w="108" w:type="dxa"/>
            <w:bottom w:w="0" w:type="dxa"/>
            <w:right w:w="108" w:type="dxa"/>
          </w:tblCellMar>
        </w:tblPrEx>
        <w:trPr>
          <w:trHeight w:val="778"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两癌筛查，严格执行国家医疗标准，不出现漏诊、漏筛情况</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24"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保证参与癌症筛查工作的医务人员均为具有执业资格人员，培训上岗。</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32"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按时间进度执行筛查工作</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44"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所有参与筛查工作的医务人员均完成筛查工作培训</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42"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两癌筛查耗材成本控制在预算范围内，杜绝浪费及他用。</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712"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45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通过两癌筛查工作，降低医疗支出，减少社会负担</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700"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两癌筛查能早预防、早发现、早诊断、早治疗，为减轻适龄妇女负担，落实健康深化医药卫生体制改革，推行妇幼健康便民措施，提高广大妇女健康水平。</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001"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两癌筛查可早预防、早发现、早诊断、早治疗，提高幸福指数，提高生活质量</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236"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两癌筛查工作完成，对医院提高医疗技术水平，对妇女健康保障及两癌预防有较好的宣传力与影响力。</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570"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restart"/>
            <w:tcBorders>
              <w:top w:val="single" w:color="auto" w:sz="4" w:space="0"/>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5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p>
        </w:tc>
        <w:tc>
          <w:tcPr>
            <w:tcW w:w="1466"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对体检场地：具备两癌筛查场所</w:t>
            </w:r>
          </w:p>
        </w:tc>
        <w:tc>
          <w:tcPr>
            <w:tcW w:w="29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2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712" w:hRule="exact"/>
          <w:jc w:val="center"/>
        </w:trPr>
        <w:tc>
          <w:tcPr>
            <w:tcW w:w="290"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84" w:type="pct"/>
            <w:gridSpan w:val="2"/>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59" w:type="pct"/>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w:t>
            </w:r>
          </w:p>
        </w:tc>
        <w:tc>
          <w:tcPr>
            <w:tcW w:w="146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对检查医师，检验仪器、检查设备及试剂：参加筛查医务人员均具有医师资质，持证上岗。仪器设备合格，试剂在有效期内。</w:t>
            </w:r>
          </w:p>
        </w:tc>
        <w:tc>
          <w:tcPr>
            <w:tcW w:w="29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398" w:hRule="exact"/>
          <w:jc w:val="center"/>
        </w:trPr>
        <w:tc>
          <w:tcPr>
            <w:tcW w:w="3355" w:type="pct"/>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48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52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6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tbl>
      <w:tblPr>
        <w:tblStyle w:val="4"/>
        <w:tblW w:w="5000" w:type="pct"/>
        <w:jc w:val="center"/>
        <w:tblLayout w:type="fixed"/>
        <w:tblCellMar>
          <w:top w:w="0" w:type="dxa"/>
          <w:left w:w="108" w:type="dxa"/>
          <w:bottom w:w="0" w:type="dxa"/>
          <w:right w:w="108" w:type="dxa"/>
        </w:tblCellMar>
      </w:tblPr>
      <w:tblGrid>
        <w:gridCol w:w="713"/>
        <w:gridCol w:w="251"/>
        <w:gridCol w:w="610"/>
        <w:gridCol w:w="850"/>
        <w:gridCol w:w="522"/>
        <w:gridCol w:w="1045"/>
        <w:gridCol w:w="90"/>
        <w:gridCol w:w="1133"/>
        <w:gridCol w:w="711"/>
        <w:gridCol w:w="424"/>
        <w:gridCol w:w="72"/>
        <w:gridCol w:w="496"/>
        <w:gridCol w:w="141"/>
        <w:gridCol w:w="849"/>
        <w:gridCol w:w="615"/>
      </w:tblGrid>
      <w:tr>
        <w:tblPrEx>
          <w:tblCellMar>
            <w:top w:w="0" w:type="dxa"/>
            <w:left w:w="108" w:type="dxa"/>
            <w:bottom w:w="0" w:type="dxa"/>
            <w:right w:w="108" w:type="dxa"/>
          </w:tblCellMar>
        </w:tblPrEx>
        <w:trPr>
          <w:trHeight w:val="440" w:hRule="exact"/>
          <w:jc w:val="center"/>
        </w:trPr>
        <w:tc>
          <w:tcPr>
            <w:tcW w:w="5000" w:type="pct"/>
            <w:gridSpan w:val="15"/>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p>
            <w:pPr>
              <w:widowControl/>
              <w:spacing w:line="320" w:lineRule="exact"/>
              <w:jc w:val="center"/>
              <w:rPr>
                <w:rFonts w:cs="宋体" w:asciiTheme="minorEastAsia" w:hAnsiTheme="minorEastAsia"/>
                <w:b/>
                <w:bCs/>
                <w:kern w:val="0"/>
                <w:sz w:val="32"/>
                <w:szCs w:val="32"/>
              </w:rPr>
            </w:pPr>
          </w:p>
        </w:tc>
      </w:tr>
      <w:tr>
        <w:tblPrEx>
          <w:tblCellMar>
            <w:top w:w="0" w:type="dxa"/>
            <w:left w:w="108" w:type="dxa"/>
            <w:bottom w:w="0" w:type="dxa"/>
            <w:right w:w="108" w:type="dxa"/>
          </w:tblCellMar>
        </w:tblPrEx>
        <w:trPr>
          <w:trHeight w:val="194" w:hRule="atLeast"/>
          <w:jc w:val="center"/>
        </w:trPr>
        <w:tc>
          <w:tcPr>
            <w:tcW w:w="5000" w:type="pct"/>
            <w:gridSpan w:val="15"/>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r>
        <w:tblPrEx>
          <w:tblCellMar>
            <w:top w:w="0" w:type="dxa"/>
            <w:left w:w="108" w:type="dxa"/>
            <w:bottom w:w="0" w:type="dxa"/>
            <w:right w:w="108" w:type="dxa"/>
          </w:tblCellMar>
        </w:tblPrEx>
        <w:trPr>
          <w:trHeight w:val="478" w:hRule="exact"/>
          <w:jc w:val="center"/>
        </w:trPr>
        <w:tc>
          <w:tcPr>
            <w:tcW w:w="565"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435" w:type="pct"/>
            <w:gridSpan w:val="13"/>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京财社指[2023]1790号提前下达2024年基本公共卫生经费（北京市第二医院）（直达资金）</w:t>
            </w:r>
          </w:p>
        </w:tc>
      </w:tr>
      <w:tr>
        <w:tblPrEx>
          <w:tblCellMar>
            <w:top w:w="0" w:type="dxa"/>
            <w:left w:w="108" w:type="dxa"/>
            <w:bottom w:w="0" w:type="dxa"/>
            <w:right w:w="108" w:type="dxa"/>
          </w:tblCellMar>
        </w:tblPrEx>
        <w:trPr>
          <w:trHeight w:val="291" w:hRule="exact"/>
          <w:jc w:val="center"/>
        </w:trPr>
        <w:tc>
          <w:tcPr>
            <w:tcW w:w="565"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494"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76"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565"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163"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41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9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56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3" w:type="pct"/>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2.1657</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2.1657</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2.1657</w:t>
            </w:r>
          </w:p>
        </w:tc>
        <w:tc>
          <w:tcPr>
            <w:tcW w:w="41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9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56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3"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2.1657</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2.1657</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2.1657</w:t>
            </w:r>
          </w:p>
        </w:tc>
        <w:tc>
          <w:tcPr>
            <w:tcW w:w="41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56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3"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56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63"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6" w:type="pct"/>
            <w:gridSpan w:val="3"/>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436" w:hRule="exact"/>
          <w:jc w:val="center"/>
        </w:trPr>
        <w:tc>
          <w:tcPr>
            <w:tcW w:w="418"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640"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941"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2759" w:hRule="exact"/>
          <w:jc w:val="center"/>
        </w:trPr>
        <w:tc>
          <w:tcPr>
            <w:tcW w:w="418"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40" w:type="pct"/>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目标1：通过高中阶段及以下新生肺结核筛查工作，做到结核病的早发现、早诊断、早治疗。</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目标2：根据《北京市结核病防治工作规范》要求，完成2024年度新生肺结核筛查工作。</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目标3：有效防范学校结核病疫情的传播流行，保护广大师生身体健康。</w:t>
            </w:r>
          </w:p>
        </w:tc>
        <w:tc>
          <w:tcPr>
            <w:tcW w:w="1941" w:type="pct"/>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目标1：通过高中阶段及以下新生肺结核筛查工作，对可疑症状及时排查，未出现结核病感染爆发情况，做到了结核病的早发现、早诊断、早治疗。</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目标2：根据《北京市结核病防治工作规范》要求，完成2024年度新生肺结核筛查工作。</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目标3：对有症状学生及时进一步排查诊治，并对广大师生进行结核病防控宣传，有效防范学校结核病疫情的传播流行，保护广大师生身体健康。</w:t>
            </w:r>
          </w:p>
        </w:tc>
      </w:tr>
      <w:tr>
        <w:tblPrEx>
          <w:tblCellMar>
            <w:top w:w="0" w:type="dxa"/>
            <w:left w:w="108" w:type="dxa"/>
            <w:bottom w:w="0" w:type="dxa"/>
            <w:right w:w="108" w:type="dxa"/>
          </w:tblCellMar>
        </w:tblPrEx>
        <w:trPr>
          <w:trHeight w:val="517" w:hRule="exact"/>
          <w:jc w:val="center"/>
        </w:trPr>
        <w:tc>
          <w:tcPr>
            <w:tcW w:w="418"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50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4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29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2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1534"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499"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指标1：根据《北京市结核病防治工作规范》要求：各级各类学校新生入学体检必须进行结核病检查。</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新生筛查率≥95%</w:t>
            </w:r>
          </w:p>
          <w:p>
            <w:pPr>
              <w:widowControl/>
              <w:spacing w:line="240" w:lineRule="exact"/>
              <w:jc w:val="left"/>
              <w:rPr>
                <w:rFonts w:cs="宋体" w:asciiTheme="minorEastAsia" w:hAnsiTheme="minorEastAsia"/>
                <w:kern w:val="0"/>
                <w:sz w:val="18"/>
                <w:szCs w:val="18"/>
              </w:rPr>
            </w:pP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91"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29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76"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指标2：保证参与新生肺结核筛查工作的医务人员均为具有执业资格人员。</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人员符合率100%</w:t>
            </w: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91"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309"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指标：所有参与新生肺结核筛查工作的医务人员均完成新生肺结核筛查培训。</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培训完成率100%</w:t>
            </w: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291"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857"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指标：按时间进度执行。</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在上级下发每年度工作时间段内，完成新生肺结核筛查工作</w:t>
            </w: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按规定时间完成</w:t>
            </w:r>
          </w:p>
        </w:tc>
        <w:tc>
          <w:tcPr>
            <w:tcW w:w="29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39"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指标：精细控制成本，在预算范围内完成工作。</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成本控制在预算范围内</w:t>
            </w:r>
          </w:p>
        </w:tc>
        <w:tc>
          <w:tcPr>
            <w:tcW w:w="41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成本≤预算</w:t>
            </w:r>
          </w:p>
        </w:tc>
        <w:tc>
          <w:tcPr>
            <w:tcW w:w="291"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29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942"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76"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不涉及</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p>
        </w:tc>
        <w:tc>
          <w:tcPr>
            <w:tcW w:w="4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1"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720"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指标：通过高中阶段及以下新生肺结核筛查工作，可以做到结核病的早发现、早诊断、早治疗，有效防范学校结核病疫情的传播流行，保护广大师生身体健康。</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做到结核病的早发现、早诊断、早治疗，有效防范学校结核病疫情的传播流行，保护广大师生身体健康。</w:t>
            </w: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已完成</w:t>
            </w:r>
          </w:p>
        </w:tc>
        <w:tc>
          <w:tcPr>
            <w:tcW w:w="29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不涉及</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202"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99"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近年来，我国结核病疫情呈下降趋势，但由于人口基数大，是全球结核病高负担国家。学校是学生高度集中的场所，学校结核病流行不仅给学生的身心健康造成损害，对学校的教学秩序和环境稳定也带来影响，若处理不当，还会引起学生家庭和社会的强烈反响。通过高中阶段及以下新生肺结核筛查工作，可以做到结核病的早发现、早诊断、早治疗。</w:t>
            </w:r>
          </w:p>
        </w:tc>
        <w:tc>
          <w:tcPr>
            <w:tcW w:w="718"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color w:val="000000"/>
                <w:kern w:val="0"/>
                <w:sz w:val="18"/>
                <w:szCs w:val="18"/>
              </w:rPr>
              <w:t>通过高中阶段及以下新生肺结核筛查工作，可以做到结核病的早发现、早诊断、早治疗。</w:t>
            </w:r>
          </w:p>
        </w:tc>
        <w:tc>
          <w:tcPr>
            <w:tcW w:w="417"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已完成</w:t>
            </w:r>
          </w:p>
        </w:tc>
        <w:tc>
          <w:tcPr>
            <w:tcW w:w="29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2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12"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gridSpan w:val="2"/>
            <w:tcBorders>
              <w:top w:val="single" w:color="auto" w:sz="4" w:space="0"/>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9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9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指标1：服务对象</w:t>
            </w:r>
          </w:p>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满意度</w:t>
            </w:r>
          </w:p>
        </w:tc>
        <w:tc>
          <w:tcPr>
            <w:tcW w:w="718"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学校及学生满意度90%以上</w:t>
            </w:r>
          </w:p>
        </w:tc>
        <w:tc>
          <w:tcPr>
            <w:tcW w:w="417"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已完成</w:t>
            </w:r>
          </w:p>
        </w:tc>
        <w:tc>
          <w:tcPr>
            <w:tcW w:w="291"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1"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476" w:type="pct"/>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291"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2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94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
    <w:p/>
    <w:tbl>
      <w:tblPr>
        <w:tblStyle w:val="4"/>
        <w:tblW w:w="5000" w:type="pct"/>
        <w:jc w:val="center"/>
        <w:tblLayout w:type="autofit"/>
        <w:tblCellMar>
          <w:top w:w="0" w:type="dxa"/>
          <w:left w:w="108" w:type="dxa"/>
          <w:bottom w:w="0" w:type="dxa"/>
          <w:right w:w="108" w:type="dxa"/>
        </w:tblCellMar>
      </w:tblPr>
      <w:tblGrid>
        <w:gridCol w:w="553"/>
        <w:gridCol w:w="550"/>
        <w:gridCol w:w="370"/>
        <w:gridCol w:w="1043"/>
        <w:gridCol w:w="430"/>
        <w:gridCol w:w="1133"/>
        <w:gridCol w:w="145"/>
        <w:gridCol w:w="990"/>
        <w:gridCol w:w="919"/>
        <w:gridCol w:w="262"/>
        <w:gridCol w:w="269"/>
        <w:gridCol w:w="395"/>
        <w:gridCol w:w="136"/>
        <w:gridCol w:w="661"/>
        <w:gridCol w:w="666"/>
      </w:tblGrid>
      <w:tr>
        <w:tblPrEx>
          <w:tblCellMar>
            <w:top w:w="0" w:type="dxa"/>
            <w:left w:w="108" w:type="dxa"/>
            <w:bottom w:w="0" w:type="dxa"/>
            <w:right w:w="108" w:type="dxa"/>
          </w:tblCellMar>
        </w:tblPrEx>
        <w:trPr>
          <w:trHeight w:val="440" w:hRule="exact"/>
          <w:jc w:val="center"/>
        </w:trPr>
        <w:tc>
          <w:tcPr>
            <w:tcW w:w="5000" w:type="pct"/>
            <w:gridSpan w:val="15"/>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5"/>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r>
        <w:tblPrEx>
          <w:tblCellMar>
            <w:top w:w="0" w:type="dxa"/>
            <w:left w:w="108" w:type="dxa"/>
            <w:bottom w:w="0" w:type="dxa"/>
            <w:right w:w="108" w:type="dxa"/>
          </w:tblCellMar>
        </w:tblPrEx>
        <w:trPr>
          <w:trHeight w:val="291" w:hRule="exact"/>
          <w:jc w:val="center"/>
        </w:trPr>
        <w:tc>
          <w:tcPr>
            <w:tcW w:w="64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354" w:type="pct"/>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西城区肿瘤登记处建设经费</w:t>
            </w:r>
          </w:p>
        </w:tc>
      </w:tr>
      <w:tr>
        <w:tblPrEx>
          <w:tblCellMar>
            <w:top w:w="0" w:type="dxa"/>
            <w:left w:w="108" w:type="dxa"/>
            <w:bottom w:w="0" w:type="dxa"/>
            <w:right w:w="108" w:type="dxa"/>
          </w:tblCellMar>
        </w:tblPrEx>
        <w:trPr>
          <w:trHeight w:val="291" w:hRule="exact"/>
          <w:jc w:val="center"/>
        </w:trPr>
        <w:tc>
          <w:tcPr>
            <w:tcW w:w="646"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411"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693"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49"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646"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081"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93"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6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81" w:type="pct"/>
            <w:gridSpan w:val="3"/>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98</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98</w:t>
            </w:r>
          </w:p>
        </w:tc>
        <w:tc>
          <w:tcPr>
            <w:tcW w:w="693"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98</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6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81"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98</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98</w:t>
            </w:r>
          </w:p>
        </w:tc>
        <w:tc>
          <w:tcPr>
            <w:tcW w:w="693"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98</w:t>
            </w: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6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81"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93"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64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81"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93"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6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324"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734"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943"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886" w:hRule="exact"/>
          <w:jc w:val="center"/>
        </w:trPr>
        <w:tc>
          <w:tcPr>
            <w:tcW w:w="32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34"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目标1：开展人群筛查和机会性筛查</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目标2：组织或参加系列专业培训</w:t>
            </w:r>
          </w:p>
          <w:p>
            <w:pPr>
              <w:widowControl/>
              <w:spacing w:line="240" w:lineRule="exact"/>
              <w:ind w:firstLine="900" w:firstLineChars="500"/>
              <w:jc w:val="both"/>
              <w:rPr>
                <w:rFonts w:cs="宋体" w:asciiTheme="minorEastAsia" w:hAnsiTheme="minorEastAsia"/>
                <w:kern w:val="0"/>
                <w:sz w:val="18"/>
                <w:szCs w:val="18"/>
              </w:rPr>
            </w:pPr>
            <w:r>
              <w:rPr>
                <w:rFonts w:hint="eastAsia" w:cs="宋体" w:asciiTheme="minorEastAsia" w:hAnsiTheme="minorEastAsia"/>
                <w:kern w:val="0"/>
                <w:sz w:val="18"/>
                <w:szCs w:val="18"/>
              </w:rPr>
              <w:t>目标3：开展健康教育</w:t>
            </w:r>
          </w:p>
          <w:p>
            <w:pPr>
              <w:widowControl/>
              <w:spacing w:line="240" w:lineRule="exact"/>
              <w:jc w:val="center"/>
              <w:rPr>
                <w:rFonts w:cs="宋体" w:asciiTheme="minorEastAsia" w:hAnsiTheme="minorEastAsia"/>
                <w:kern w:val="0"/>
                <w:sz w:val="18"/>
                <w:szCs w:val="18"/>
              </w:rPr>
            </w:pPr>
          </w:p>
        </w:tc>
        <w:tc>
          <w:tcPr>
            <w:tcW w:w="1943"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目标1：开展人群筛查和机会性筛查</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目标2：组织或参加系列专业培训</w:t>
            </w:r>
          </w:p>
          <w:p>
            <w:pPr>
              <w:widowControl/>
              <w:spacing w:line="240" w:lineRule="exact"/>
              <w:ind w:firstLine="180" w:firstLineChars="100"/>
              <w:jc w:val="both"/>
              <w:rPr>
                <w:rFonts w:cs="宋体" w:asciiTheme="minorEastAsia" w:hAnsiTheme="minorEastAsia"/>
                <w:kern w:val="0"/>
                <w:sz w:val="18"/>
                <w:szCs w:val="18"/>
              </w:rPr>
            </w:pPr>
            <w:r>
              <w:rPr>
                <w:rFonts w:hint="eastAsia" w:cs="宋体" w:asciiTheme="minorEastAsia" w:hAnsiTheme="minorEastAsia"/>
                <w:kern w:val="0"/>
                <w:sz w:val="18"/>
                <w:szCs w:val="18"/>
              </w:rPr>
              <w:t xml:space="preserve"> 目标3：开展健康教育</w:t>
            </w:r>
          </w:p>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17" w:hRule="exact"/>
          <w:jc w:val="center"/>
        </w:trPr>
        <w:tc>
          <w:tcPr>
            <w:tcW w:w="324"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539"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61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1002"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580"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71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61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指标1：组织专业培训</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1次</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1次</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36"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指标2：开展健康教育</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4次</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21次</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035"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指标1：开展人群筛查</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开展人群筛查项目至少1项</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1项</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32"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指标1：按时间进度执行</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按时间进度执行</w:t>
            </w:r>
          </w:p>
        </w:tc>
        <w:tc>
          <w:tcPr>
            <w:tcW w:w="539"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按时间进度执行</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97"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指标1：合理控制筛查成本</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合理控制成本</w:t>
            </w:r>
          </w:p>
        </w:tc>
        <w:tc>
          <w:tcPr>
            <w:tcW w:w="539"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合理控制成本</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75"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指标1：不涉及</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p>
        </w:tc>
        <w:tc>
          <w:tcPr>
            <w:tcW w:w="539"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85"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指标2：两癌筛查预约参与率</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kern w:val="0"/>
                <w:sz w:val="18"/>
                <w:szCs w:val="18"/>
              </w:rPr>
              <w:t>95%</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指标1：不涉及</w:t>
            </w:r>
          </w:p>
        </w:tc>
        <w:tc>
          <w:tcPr>
            <w:tcW w:w="580" w:type="pct"/>
            <w:tcBorders>
              <w:top w:val="nil"/>
              <w:left w:val="nil"/>
              <w:bottom w:val="single" w:color="auto" w:sz="4" w:space="0"/>
              <w:right w:val="single" w:color="auto" w:sz="4" w:space="0"/>
            </w:tcBorders>
            <w:vAlign w:val="center"/>
          </w:tcPr>
          <w:p>
            <w:pPr>
              <w:rPr>
                <w:rFonts w:cs="宋体" w:asciiTheme="minorEastAsia" w:hAnsiTheme="minorEastAsia"/>
                <w:kern w:val="0"/>
                <w:sz w:val="18"/>
                <w:szCs w:val="18"/>
              </w:rPr>
            </w:pP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58"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1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指标1：加强人才培养</w:t>
            </w:r>
          </w:p>
        </w:tc>
        <w:tc>
          <w:tcPr>
            <w:tcW w:w="580" w:type="pct"/>
            <w:tcBorders>
              <w:top w:val="nil"/>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培训不少于1人次</w:t>
            </w:r>
          </w:p>
        </w:tc>
        <w:tc>
          <w:tcPr>
            <w:tcW w:w="53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1次</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33" w:hRule="exact"/>
          <w:jc w:val="center"/>
        </w:trPr>
        <w:tc>
          <w:tcPr>
            <w:tcW w:w="324"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39" w:type="pct"/>
            <w:gridSpan w:val="2"/>
            <w:tcBorders>
              <w:top w:val="single" w:color="auto" w:sz="4" w:space="0"/>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61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1002"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指标1：提高患者满意度</w:t>
            </w:r>
          </w:p>
        </w:tc>
        <w:tc>
          <w:tcPr>
            <w:tcW w:w="580" w:type="pct"/>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不低于90分</w:t>
            </w:r>
          </w:p>
        </w:tc>
        <w:tc>
          <w:tcPr>
            <w:tcW w:w="53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99</w:t>
            </w:r>
          </w:p>
        </w:tc>
        <w:tc>
          <w:tcPr>
            <w:tcW w:w="31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1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596" w:type="pct"/>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312"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78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tbl>
      <w:tblPr>
        <w:tblStyle w:val="4"/>
        <w:tblW w:w="5000" w:type="pct"/>
        <w:jc w:val="center"/>
        <w:tblLayout w:type="autofit"/>
        <w:tblCellMar>
          <w:top w:w="0" w:type="dxa"/>
          <w:left w:w="108" w:type="dxa"/>
          <w:bottom w:w="0" w:type="dxa"/>
          <w:right w:w="108" w:type="dxa"/>
        </w:tblCellMar>
      </w:tblPr>
      <w:tblGrid>
        <w:gridCol w:w="505"/>
        <w:gridCol w:w="452"/>
        <w:gridCol w:w="752"/>
        <w:gridCol w:w="1002"/>
        <w:gridCol w:w="469"/>
        <w:gridCol w:w="748"/>
        <w:gridCol w:w="1128"/>
        <w:gridCol w:w="862"/>
        <w:gridCol w:w="510"/>
        <w:gridCol w:w="670"/>
        <w:gridCol w:w="827"/>
        <w:gridCol w:w="597"/>
      </w:tblGrid>
      <w:tr>
        <w:tblPrEx>
          <w:tblCellMar>
            <w:top w:w="0" w:type="dxa"/>
            <w:left w:w="108" w:type="dxa"/>
            <w:bottom w:w="0" w:type="dxa"/>
            <w:right w:w="108" w:type="dxa"/>
          </w:tblCellMar>
        </w:tblPrEx>
        <w:trPr>
          <w:trHeight w:val="440" w:hRule="exact"/>
          <w:jc w:val="center"/>
        </w:trPr>
        <w:tc>
          <w:tcPr>
            <w:tcW w:w="5000" w:type="pct"/>
            <w:gridSpan w:val="12"/>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2"/>
            <w:tcBorders>
              <w:top w:val="nil"/>
              <w:left w:val="nil"/>
              <w:bottom w:val="nil"/>
              <w:right w:val="nil"/>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r>
        <w:tblPrEx>
          <w:tblCellMar>
            <w:top w:w="0" w:type="dxa"/>
            <w:left w:w="108" w:type="dxa"/>
            <w:bottom w:w="0" w:type="dxa"/>
            <w:right w:w="108" w:type="dxa"/>
          </w:tblCellMar>
        </w:tblPrEx>
        <w:trPr>
          <w:trHeight w:val="291" w:hRule="exact"/>
          <w:jc w:val="center"/>
        </w:trPr>
        <w:tc>
          <w:tcPr>
            <w:tcW w:w="562"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437" w:type="pct"/>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西城区区域肿瘤防治中心建设及分级诊疗</w:t>
            </w:r>
          </w:p>
        </w:tc>
      </w:tr>
      <w:tr>
        <w:tblPrEx>
          <w:tblCellMar>
            <w:top w:w="0" w:type="dxa"/>
            <w:left w:w="108" w:type="dxa"/>
            <w:bottom w:w="0" w:type="dxa"/>
            <w:right w:w="108" w:type="dxa"/>
          </w:tblCellMar>
        </w:tblPrEx>
        <w:trPr>
          <w:trHeight w:val="291" w:hRule="exact"/>
          <w:jc w:val="center"/>
        </w:trPr>
        <w:tc>
          <w:tcPr>
            <w:tcW w:w="562"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404"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80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27" w:type="pct"/>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北京市第二医院</w:t>
            </w:r>
          </w:p>
        </w:tc>
      </w:tr>
      <w:tr>
        <w:tblPrEx>
          <w:tblCellMar>
            <w:top w:w="0" w:type="dxa"/>
            <w:left w:w="108" w:type="dxa"/>
            <w:bottom w:w="0" w:type="dxa"/>
            <w:right w:w="108" w:type="dxa"/>
          </w:tblCellMar>
        </w:tblPrEx>
        <w:trPr>
          <w:trHeight w:val="345" w:hRule="exact"/>
          <w:jc w:val="center"/>
        </w:trPr>
        <w:tc>
          <w:tcPr>
            <w:tcW w:w="562"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02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71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6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80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8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34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423" w:hRule="exact"/>
          <w:jc w:val="center"/>
        </w:trPr>
        <w:tc>
          <w:tcPr>
            <w:tcW w:w="56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2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71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60</w:t>
            </w:r>
          </w:p>
        </w:tc>
        <w:tc>
          <w:tcPr>
            <w:tcW w:w="66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60</w:t>
            </w:r>
          </w:p>
        </w:tc>
        <w:tc>
          <w:tcPr>
            <w:tcW w:w="80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60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8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4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319" w:hRule="exact"/>
          <w:jc w:val="center"/>
        </w:trPr>
        <w:tc>
          <w:tcPr>
            <w:tcW w:w="56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2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71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60</w:t>
            </w:r>
          </w:p>
        </w:tc>
        <w:tc>
          <w:tcPr>
            <w:tcW w:w="66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60</w:t>
            </w:r>
          </w:p>
        </w:tc>
        <w:tc>
          <w:tcPr>
            <w:tcW w:w="80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60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8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34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56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2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71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80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8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4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56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2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71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80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8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4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297"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670"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2032"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842" w:hRule="exact"/>
          <w:jc w:val="center"/>
        </w:trPr>
        <w:tc>
          <w:tcPr>
            <w:tcW w:w="297"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70"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目标1：健全防癌体检</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目标2：组织或参加系列专业培训</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目标3：开展患者教育</w:t>
            </w:r>
          </w:p>
          <w:p>
            <w:pPr>
              <w:widowControl/>
              <w:spacing w:line="240" w:lineRule="exact"/>
              <w:jc w:val="center"/>
              <w:rPr>
                <w:rFonts w:cs="宋体" w:asciiTheme="minorEastAsia" w:hAnsiTheme="minorEastAsia"/>
                <w:kern w:val="0"/>
                <w:sz w:val="18"/>
                <w:szCs w:val="18"/>
              </w:rPr>
            </w:pPr>
          </w:p>
        </w:tc>
        <w:tc>
          <w:tcPr>
            <w:tcW w:w="2032" w:type="pct"/>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目标1：健全防癌体检</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目标2：组织或参加系列专业培训</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目标3：开展患者教育</w:t>
            </w:r>
          </w:p>
          <w:p>
            <w:pPr>
              <w:widowControl/>
              <w:spacing w:line="240" w:lineRule="exact"/>
              <w:jc w:val="left"/>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17" w:hRule="exact"/>
          <w:jc w:val="center"/>
        </w:trPr>
        <w:tc>
          <w:tcPr>
            <w:tcW w:w="297"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2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441"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110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649"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指标1：组织专业培训</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1次</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1次</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784"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指标3：开展患者教育</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4次</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21次</w:t>
            </w:r>
          </w:p>
        </w:tc>
        <w:tc>
          <w:tcPr>
            <w:tcW w:w="29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786"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指标1：手术并发症</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0</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299"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51"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指标1：按时间进度执行</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按时间进度执行</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按时间进度执行</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021"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指标1：节能减排</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落实节能减排</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落实</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16"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不涉及</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007"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指标1：按“两癌”筛查标准完成筛查</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771"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不涉及</w:t>
            </w:r>
          </w:p>
        </w:tc>
        <w:tc>
          <w:tcPr>
            <w:tcW w:w="110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770"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1"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指标1：加强人才培养</w:t>
            </w:r>
          </w:p>
        </w:tc>
        <w:tc>
          <w:tcPr>
            <w:tcW w:w="1100" w:type="pct"/>
            <w:gridSpan w:val="2"/>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进修不少于1人次</w:t>
            </w:r>
          </w:p>
        </w:tc>
        <w:tc>
          <w:tcPr>
            <w:tcW w:w="50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19人次</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285" w:hRule="exact"/>
          <w:jc w:val="center"/>
        </w:trPr>
        <w:tc>
          <w:tcPr>
            <w:tcW w:w="297"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65" w:type="pct"/>
            <w:tcBorders>
              <w:top w:val="single" w:color="auto" w:sz="4" w:space="0"/>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863"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指标1：提高患者满意度</w:t>
            </w:r>
          </w:p>
        </w:tc>
        <w:tc>
          <w:tcPr>
            <w:tcW w:w="1100" w:type="pct"/>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不低于90分</w:t>
            </w:r>
          </w:p>
        </w:tc>
        <w:tc>
          <w:tcPr>
            <w:tcW w:w="505"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99</w:t>
            </w:r>
          </w:p>
        </w:tc>
        <w:tc>
          <w:tcPr>
            <w:tcW w:w="29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393"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472"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29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393" w:type="pct"/>
            <w:tcBorders>
              <w:top w:val="nil"/>
              <w:left w:val="nil"/>
              <w:bottom w:val="single" w:color="auto" w:sz="4" w:space="0"/>
              <w:right w:val="single" w:color="auto" w:sz="4" w:space="0"/>
            </w:tcBorders>
            <w:vAlign w:val="center"/>
          </w:tcPr>
          <w:p>
            <w:pPr>
              <w:widowControl/>
              <w:spacing w:line="240" w:lineRule="exact"/>
              <w:jc w:val="center"/>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color w:val="000000"/>
                <w:kern w:val="0"/>
                <w:sz w:val="18"/>
                <w:szCs w:val="18"/>
                <w:lang w:val="en-US" w:eastAsia="zh-CN"/>
              </w:rPr>
              <w:t>100</w:t>
            </w:r>
          </w:p>
        </w:tc>
        <w:tc>
          <w:tcPr>
            <w:tcW w:w="83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
    <w:p/>
    <w:p/>
    <w:p/>
    <w:p/>
    <w:p/>
    <w:p/>
    <w:p/>
    <w:p/>
    <w:p/>
    <w:p/>
    <w:p/>
    <w:tbl>
      <w:tblPr>
        <w:tblStyle w:val="4"/>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73" w:hRule="atLeast"/>
          <w:jc w:val="center"/>
        </w:trPr>
        <w:tc>
          <w:tcPr>
            <w:tcW w:w="5000" w:type="pct"/>
            <w:tcBorders>
              <w:top w:val="nil"/>
              <w:left w:val="nil"/>
              <w:bottom w:val="nil"/>
              <w:right w:val="nil"/>
            </w:tcBorders>
          </w:tcPr>
          <w:p>
            <w:pPr>
              <w:widowControl/>
              <w:rPr>
                <w:rFonts w:ascii="宋体" w:hAnsi="宋体" w:eastAsia="宋体" w:cs="宋体"/>
                <w:kern w:val="0"/>
                <w:sz w:val="22"/>
                <w:szCs w:val="24"/>
              </w:rPr>
            </w:pPr>
          </w:p>
          <w:tbl>
            <w:tblPr>
              <w:tblStyle w:val="4"/>
              <w:tblW w:w="9380" w:type="dxa"/>
              <w:tblInd w:w="492" w:type="dxa"/>
              <w:tblLayout w:type="autofit"/>
              <w:tblCellMar>
                <w:top w:w="0" w:type="dxa"/>
                <w:left w:w="108" w:type="dxa"/>
                <w:bottom w:w="0" w:type="dxa"/>
                <w:right w:w="108" w:type="dxa"/>
              </w:tblCellMar>
            </w:tblPr>
            <w:tblGrid>
              <w:gridCol w:w="9380"/>
            </w:tblGrid>
            <w:tr>
              <w:tblPrEx>
                <w:tblCellMar>
                  <w:top w:w="0" w:type="dxa"/>
                  <w:left w:w="108" w:type="dxa"/>
                  <w:bottom w:w="0" w:type="dxa"/>
                  <w:right w:w="108" w:type="dxa"/>
                </w:tblCellMar>
              </w:tblPrEx>
              <w:trPr>
                <w:trHeight w:val="402" w:hRule="exact"/>
              </w:trPr>
              <w:tc>
                <w:tcPr>
                  <w:tcW w:w="9380" w:type="dxa"/>
                  <w:tcBorders>
                    <w:top w:val="nil"/>
                    <w:left w:val="nil"/>
                    <w:bottom w:val="nil"/>
                    <w:right w:val="nil"/>
                  </w:tcBorders>
                  <w:vAlign w:val="center"/>
                </w:tcPr>
                <w:p>
                  <w:pPr>
                    <w:widowControl/>
                    <w:spacing w:line="320" w:lineRule="exact"/>
                    <w:ind w:firstLine="1751" w:firstLineChars="545"/>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325" w:hRule="atLeast"/>
              </w:trPr>
              <w:tc>
                <w:tcPr>
                  <w:tcW w:w="9380" w:type="dxa"/>
                  <w:tcBorders>
                    <w:top w:val="nil"/>
                    <w:left w:val="nil"/>
                    <w:bottom w:val="nil"/>
                    <w:right w:val="nil"/>
                  </w:tcBorders>
                </w:tcPr>
                <w:p>
                  <w:pPr>
                    <w:widowControl/>
                    <w:ind w:firstLine="2240" w:firstLineChars="700"/>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bl>
          <w:tbl>
            <w:tblPr>
              <w:tblStyle w:val="4"/>
              <w:tblpPr w:leftFromText="180" w:rightFromText="180" w:vertAnchor="text" w:horzAnchor="margin" w:tblpXSpec="center" w:tblpY="178"/>
              <w:tblOverlap w:val="never"/>
              <w:tblW w:w="5000" w:type="pct"/>
              <w:tblInd w:w="0" w:type="dxa"/>
              <w:tblLayout w:type="autofit"/>
              <w:tblCellMar>
                <w:top w:w="0" w:type="dxa"/>
                <w:left w:w="108" w:type="dxa"/>
                <w:bottom w:w="0" w:type="dxa"/>
                <w:right w:w="108" w:type="dxa"/>
              </w:tblCellMar>
            </w:tblPr>
            <w:tblGrid>
              <w:gridCol w:w="396"/>
              <w:gridCol w:w="513"/>
              <w:gridCol w:w="886"/>
              <w:gridCol w:w="884"/>
              <w:gridCol w:w="292"/>
              <w:gridCol w:w="851"/>
              <w:gridCol w:w="1276"/>
              <w:gridCol w:w="956"/>
              <w:gridCol w:w="486"/>
              <w:gridCol w:w="118"/>
              <w:gridCol w:w="339"/>
              <w:gridCol w:w="468"/>
              <w:gridCol w:w="831"/>
            </w:tblGrid>
            <w:tr>
              <w:tblPrEx>
                <w:tblCellMar>
                  <w:top w:w="0" w:type="dxa"/>
                  <w:left w:w="108" w:type="dxa"/>
                  <w:bottom w:w="0" w:type="dxa"/>
                  <w:right w:w="108" w:type="dxa"/>
                </w:tblCellMar>
              </w:tblPrEx>
              <w:trPr>
                <w:trHeight w:val="267" w:hRule="exact"/>
              </w:trPr>
              <w:tc>
                <w:tcPr>
                  <w:tcW w:w="548"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452" w:type="pct"/>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二院--科技新星项目</w:t>
                  </w:r>
                </w:p>
              </w:tc>
            </w:tr>
            <w:tr>
              <w:tblPrEx>
                <w:tblCellMar>
                  <w:top w:w="0" w:type="dxa"/>
                  <w:left w:w="108" w:type="dxa"/>
                  <w:bottom w:w="0" w:type="dxa"/>
                  <w:right w:w="108" w:type="dxa"/>
                </w:tblCellMar>
              </w:tblPrEx>
              <w:trPr>
                <w:trHeight w:val="267" w:hRule="exact"/>
              </w:trPr>
              <w:tc>
                <w:tcPr>
                  <w:tcW w:w="548"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2525"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北京市西城区卫生健康委员会</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351"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北京市第二医院</w:t>
                  </w:r>
                </w:p>
              </w:tc>
            </w:tr>
            <w:tr>
              <w:tblPrEx>
                <w:tblCellMar>
                  <w:top w:w="0" w:type="dxa"/>
                  <w:left w:w="108" w:type="dxa"/>
                  <w:bottom w:w="0" w:type="dxa"/>
                  <w:right w:w="108" w:type="dxa"/>
                </w:tblCellMar>
              </w:tblPrEx>
              <w:trPr>
                <w:trHeight w:val="267" w:hRule="exact"/>
              </w:trPr>
              <w:tc>
                <w:tcPr>
                  <w:tcW w:w="54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06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8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76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364"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8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501"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67" w:hRule="exact"/>
              </w:trPr>
              <w:tc>
                <w:tcPr>
                  <w:tcW w:w="5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68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76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364"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01"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67" w:hRule="exact"/>
              </w:trPr>
              <w:tc>
                <w:tcPr>
                  <w:tcW w:w="5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68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76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2.93</w:t>
                  </w:r>
                </w:p>
              </w:tc>
              <w:tc>
                <w:tcPr>
                  <w:tcW w:w="364"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501"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67" w:hRule="exact"/>
              </w:trPr>
              <w:tc>
                <w:tcPr>
                  <w:tcW w:w="5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68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6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1"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67" w:hRule="exact"/>
              </w:trPr>
              <w:tc>
                <w:tcPr>
                  <w:tcW w:w="5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6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8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6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1"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67" w:hRule="exact"/>
              </w:trPr>
              <w:tc>
                <w:tcPr>
                  <w:tcW w:w="23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834"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192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3215" w:hRule="exact"/>
              </w:trPr>
              <w:tc>
                <w:tcPr>
                  <w:tcW w:w="23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834" w:type="pct"/>
                  <w:gridSpan w:val="6"/>
                  <w:tcBorders>
                    <w:top w:val="single" w:color="auto" w:sz="4" w:space="0"/>
                    <w:left w:val="nil"/>
                    <w:bottom w:val="single" w:color="auto" w:sz="4" w:space="0"/>
                    <w:right w:val="single" w:color="auto" w:sz="4" w:space="0"/>
                  </w:tcBorders>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目标1：提升医院科研人才队伍素质，提高青年医师科研能力和水平，促进优势学科发展，增强医院科技综合实力</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2：以科研项目为依托，选拔培养一批优秀的青年科技骨干开展科研实践，提高科技水平和管理能力，培养造就一批青年科技带头人和科技管理专家，逐步形成青年科技专家群体，产生一批具有良好社会效益和使用价值的科研成果。</w:t>
                  </w:r>
                </w:p>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目标3：根据申请时提出的研究计划，落实研究工作，保证研究项目按计划实施，开展样本收集。</w:t>
                  </w:r>
                </w:p>
              </w:tc>
              <w:tc>
                <w:tcPr>
                  <w:tcW w:w="1927"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目标1：提升医院科研人才队伍素质，提高青年医师科研能力和水平，促进优势学科发展，增强医院科技综合实力</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2：以科研项目为依托，选拔培养一批优秀的青年科技骨干开展科研实践，提高科技水平和管理能力，培养造就一批青年科技带头人和科技管理专家，逐步形成青年科技专家群体，产生一批具有良好社会效益和使用价值的科研成果。</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目标3：根据申请时提出的研究计划，落实研究工作，保证研究项目按计划实施，开展样本收集。</w:t>
                  </w:r>
                </w:p>
              </w:tc>
            </w:tr>
            <w:tr>
              <w:tblPrEx>
                <w:tblCellMar>
                  <w:top w:w="0" w:type="dxa"/>
                  <w:left w:w="108" w:type="dxa"/>
                  <w:bottom w:w="0" w:type="dxa"/>
                  <w:right w:w="108" w:type="dxa"/>
                </w:tblCellMar>
              </w:tblPrEx>
              <w:trPr>
                <w:trHeight w:val="490" w:hRule="exact"/>
              </w:trPr>
              <w:tc>
                <w:tcPr>
                  <w:tcW w:w="239" w:type="pct"/>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309"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53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679"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534"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709"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指标1：完成预计样收集量</w:t>
                  </w:r>
                </w:p>
              </w:tc>
              <w:tc>
                <w:tcPr>
                  <w:tcW w:w="1282" w:type="pct"/>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完成</w:t>
                  </w:r>
                </w:p>
              </w:tc>
              <w:tc>
                <w:tcPr>
                  <w:tcW w:w="576" w:type="pct"/>
                  <w:vMerge w:val="restart"/>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93" w:type="pct"/>
                  <w:vMerge w:val="restar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275" w:type="pct"/>
                  <w:gridSpan w:val="2"/>
                  <w:vMerge w:val="restart"/>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35</w:t>
                  </w:r>
                </w:p>
              </w:tc>
              <w:tc>
                <w:tcPr>
                  <w:tcW w:w="783"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52"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09"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 xml:space="preserve"> 指标2：完成项目组人员培训</w:t>
                  </w:r>
                </w:p>
              </w:tc>
              <w:tc>
                <w:tcPr>
                  <w:tcW w:w="1282" w:type="pct"/>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培训合格率100%</w:t>
                  </w:r>
                </w:p>
              </w:tc>
              <w:tc>
                <w:tcPr>
                  <w:tcW w:w="576" w:type="pct"/>
                  <w:vMerge w:val="continue"/>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rPr>
                  </w:pPr>
                </w:p>
              </w:tc>
              <w:tc>
                <w:tcPr>
                  <w:tcW w:w="293" w:type="pct"/>
                  <w:vMerge w:val="continue"/>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rPr>
                  </w:pPr>
                </w:p>
              </w:tc>
              <w:tc>
                <w:tcPr>
                  <w:tcW w:w="275" w:type="pct"/>
                  <w:gridSpan w:val="2"/>
                  <w:vMerge w:val="continue"/>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rPr>
                  </w:pPr>
                </w:p>
              </w:tc>
              <w:tc>
                <w:tcPr>
                  <w:tcW w:w="783"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37"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指标1：项目结题准时性</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项目目标按计划完成率100%</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该项目为两年期项目，第一年执行进度偏缓慢；改进措施：第二年继续执行时加快执行进度，达到按时结题。</w:t>
                  </w:r>
                </w:p>
              </w:tc>
            </w:tr>
            <w:tr>
              <w:tblPrEx>
                <w:tblCellMar>
                  <w:top w:w="0" w:type="dxa"/>
                  <w:left w:w="108" w:type="dxa"/>
                  <w:bottom w:w="0" w:type="dxa"/>
                  <w:right w:w="108" w:type="dxa"/>
                </w:tblCellMar>
              </w:tblPrEx>
              <w:trPr>
                <w:trHeight w:val="1506"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指标1：按时间进度执行</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根据项目申请时提出的任务书，落实研究工作，保证研究项目按计划实施，开展样本收集。</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22"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指标1：项目所需材料费</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预估成本：万元</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1.3万元</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2"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指标1：不涉及</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972"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社会效益</w:t>
                  </w:r>
                </w:p>
                <w:p>
                  <w:pPr>
                    <w:widowControl/>
                    <w:spacing w:line="240" w:lineRule="exact"/>
                    <w:jc w:val="left"/>
                    <w:rPr>
                      <w:rFonts w:ascii="宋体" w:hAnsi="宋体" w:eastAsia="宋体" w:cs="宋体"/>
                      <w:color w:val="000000"/>
                      <w:kern w:val="0"/>
                      <w:sz w:val="18"/>
                      <w:szCs w:val="18"/>
                    </w:rPr>
                  </w:pPr>
                </w:p>
              </w:tc>
              <w:tc>
                <w:tcPr>
                  <w:tcW w:w="1282"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提升医院科研人才队伍素质，提高青年医师科研能力和水平，促进优势学科发展，增强医院科技综合实力。</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提升医院科研人才队伍素质，提高青年医师科研能力和水平，促进优势学科发展，增强医院科技综合实力。</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2"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指标1：不涉及</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943"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34"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r>
                    <w:rPr>
                      <w:rFonts w:hint="eastAsia" w:ascii="宋体" w:hAnsi="宋体" w:eastAsia="宋体" w:cs="宋体"/>
                      <w:kern w:val="0"/>
                      <w:sz w:val="18"/>
                      <w:szCs w:val="18"/>
                    </w:rPr>
                    <w:t>可持续影响指标</w:t>
                  </w:r>
                </w:p>
              </w:tc>
              <w:tc>
                <w:tcPr>
                  <w:tcW w:w="1282"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长期开展可逐步形成医院青年科技专家群体，产生一批具有良好社会效益和使用价值的科研成果。</w:t>
                  </w:r>
                </w:p>
              </w:tc>
              <w:tc>
                <w:tcPr>
                  <w:tcW w:w="57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逐步形成医院青年科技专家群体，产生一批具有良好社会效益和使用价值的科研成果。</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7" w:hRule="exact"/>
              </w:trPr>
              <w:tc>
                <w:tcPr>
                  <w:tcW w:w="239"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09"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53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70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指标1：服务对象</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28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患者满意度90%以上</w:t>
                  </w:r>
                </w:p>
              </w:tc>
              <w:tc>
                <w:tcPr>
                  <w:tcW w:w="57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95%</w:t>
                  </w:r>
                </w:p>
              </w:tc>
              <w:tc>
                <w:tcPr>
                  <w:tcW w:w="293"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75"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5" w:hRule="exact"/>
              </w:trPr>
              <w:tc>
                <w:tcPr>
                  <w:tcW w:w="3649"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27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78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widowControl/>
              <w:rPr>
                <w:rFonts w:ascii="宋体" w:hAnsi="宋体" w:eastAsia="宋体" w:cs="宋体"/>
                <w:kern w:val="0"/>
                <w:sz w:val="22"/>
                <w:szCs w:val="24"/>
              </w:rPr>
            </w:pPr>
          </w:p>
        </w:tc>
      </w:tr>
    </w:tbl>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tbl>
      <w:tblPr>
        <w:tblStyle w:val="4"/>
        <w:tblW w:w="5000" w:type="pct"/>
        <w:jc w:val="center"/>
        <w:tblLayout w:type="autofit"/>
        <w:tblCellMar>
          <w:top w:w="0" w:type="dxa"/>
          <w:left w:w="108" w:type="dxa"/>
          <w:bottom w:w="0" w:type="dxa"/>
          <w:right w:w="108" w:type="dxa"/>
        </w:tblCellMar>
      </w:tblPr>
      <w:tblGrid>
        <w:gridCol w:w="453"/>
        <w:gridCol w:w="721"/>
        <w:gridCol w:w="827"/>
        <w:gridCol w:w="946"/>
        <w:gridCol w:w="983"/>
        <w:gridCol w:w="150"/>
        <w:gridCol w:w="1135"/>
        <w:gridCol w:w="1133"/>
        <w:gridCol w:w="104"/>
        <w:gridCol w:w="487"/>
        <w:gridCol w:w="487"/>
        <w:gridCol w:w="338"/>
        <w:gridCol w:w="758"/>
      </w:tblGrid>
      <w:tr>
        <w:tblPrEx>
          <w:tblCellMar>
            <w:top w:w="0" w:type="dxa"/>
            <w:left w:w="108" w:type="dxa"/>
            <w:bottom w:w="0" w:type="dxa"/>
            <w:right w:w="108" w:type="dxa"/>
          </w:tblCellMar>
        </w:tblPrEx>
        <w:trPr>
          <w:trHeight w:val="440" w:hRule="exact"/>
          <w:jc w:val="center"/>
        </w:trPr>
        <w:tc>
          <w:tcPr>
            <w:tcW w:w="5000" w:type="pct"/>
            <w:gridSpan w:val="13"/>
            <w:tcBorders>
              <w:top w:val="nil"/>
              <w:left w:val="nil"/>
              <w:bottom w:val="nil"/>
              <w:right w:val="nil"/>
            </w:tcBorders>
            <w:vAlign w:val="center"/>
          </w:tcPr>
          <w:p>
            <w:pPr>
              <w:widowControl/>
              <w:spacing w:line="320" w:lineRule="exact"/>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3"/>
            <w:tcBorders>
              <w:top w:val="nil"/>
              <w:left w:val="nil"/>
              <w:bottom w:val="nil"/>
              <w:right w:val="nil"/>
            </w:tcBorders>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（2024年度）</w:t>
            </w:r>
          </w:p>
        </w:tc>
      </w:tr>
      <w:tr>
        <w:tblPrEx>
          <w:tblCellMar>
            <w:top w:w="0" w:type="dxa"/>
            <w:left w:w="108" w:type="dxa"/>
            <w:bottom w:w="0" w:type="dxa"/>
            <w:right w:w="108" w:type="dxa"/>
          </w:tblCellMar>
        </w:tblPrEx>
        <w:trPr>
          <w:trHeight w:val="481" w:hRule="exact"/>
          <w:jc w:val="center"/>
        </w:trPr>
        <w:tc>
          <w:tcPr>
            <w:tcW w:w="68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311" w:type="pct"/>
            <w:gridSpan w:val="11"/>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京财社指【2022】2247号提前下达2023年促进基层中医药传承创新发展经费-综合医院中医药工作</w:t>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p>
        </w:tc>
      </w:tr>
      <w:tr>
        <w:tblPrEx>
          <w:tblCellMar>
            <w:top w:w="0" w:type="dxa"/>
            <w:left w:w="108" w:type="dxa"/>
            <w:bottom w:w="0" w:type="dxa"/>
            <w:right w:w="108" w:type="dxa"/>
          </w:tblCellMar>
        </w:tblPrEx>
        <w:trPr>
          <w:trHeight w:val="291" w:hRule="exact"/>
          <w:jc w:val="center"/>
        </w:trPr>
        <w:tc>
          <w:tcPr>
            <w:tcW w:w="68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371"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西城区卫生健康委员会</w:t>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276"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68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0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34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44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91" w:hRule="exact"/>
          <w:jc w:val="center"/>
        </w:trPr>
        <w:tc>
          <w:tcPr>
            <w:tcW w:w="68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40"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3．00</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3．00</w:t>
            </w:r>
          </w:p>
        </w:tc>
        <w:tc>
          <w:tcPr>
            <w:tcW w:w="34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4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91" w:hRule="exact"/>
          <w:jc w:val="center"/>
        </w:trPr>
        <w:tc>
          <w:tcPr>
            <w:tcW w:w="68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4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68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3．00</w:t>
            </w: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3．00</w:t>
            </w:r>
          </w:p>
        </w:tc>
        <w:tc>
          <w:tcPr>
            <w:tcW w:w="34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4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68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4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65"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34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4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91" w:hRule="exact"/>
          <w:jc w:val="center"/>
        </w:trPr>
        <w:tc>
          <w:tcPr>
            <w:tcW w:w="266"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793"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1940"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1924" w:hRule="exact"/>
          <w:jc w:val="center"/>
        </w:trPr>
        <w:tc>
          <w:tcPr>
            <w:tcW w:w="26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93"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 xml:space="preserve">立足于区级综合医院中医药建设，完善中医药服务体系， 建立健全中西医协同工作机制，促进中医药融入综合医院医疗服务体系中，更好的发挥中医药优势特色，满足患者中医药服务需求。 </w:t>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p>
        </w:tc>
        <w:tc>
          <w:tcPr>
            <w:tcW w:w="1940"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立足于区级综合医院中医药建设，从人才梯队建设、专科深度耕耘建设、营造中医药文化氛围多维度完善中医药服务体系， 多学科联合建立健全中西医协同工作机制，促进中医药融入综合医院医疗服务体系中，更好的发挥中医药优势特色，体现中医人文关怀、满足患者中医药服务需求。</w:t>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r>
              <w:rPr>
                <w:rFonts w:hint="eastAsia" w:cs="宋体" w:asciiTheme="minorEastAsia" w:hAnsiTheme="minorEastAsia"/>
                <w:kern w:val="0"/>
                <w:sz w:val="18"/>
                <w:szCs w:val="18"/>
              </w:rPr>
              <w:tab/>
            </w:r>
          </w:p>
        </w:tc>
      </w:tr>
      <w:tr>
        <w:tblPrEx>
          <w:tblCellMar>
            <w:top w:w="0" w:type="dxa"/>
            <w:left w:w="108" w:type="dxa"/>
            <w:bottom w:w="0" w:type="dxa"/>
            <w:right w:w="108" w:type="dxa"/>
          </w:tblCellMar>
        </w:tblPrEx>
        <w:trPr>
          <w:trHeight w:val="517" w:hRule="exact"/>
          <w:jc w:val="center"/>
        </w:trPr>
        <w:tc>
          <w:tcPr>
            <w:tcW w:w="266"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42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48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754"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7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64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1897" w:hRule="exac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产出指标50</w:t>
            </w:r>
          </w:p>
        </w:tc>
        <w:tc>
          <w:tcPr>
            <w:tcW w:w="485"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Times New Roman" w:asciiTheme="minorEastAsia" w:hAnsiTheme="minorEastAsia"/>
                <w:sz w:val="18"/>
                <w:szCs w:val="18"/>
              </w:rPr>
              <w:t>院级中医药重点专科</w:t>
            </w:r>
          </w:p>
        </w:tc>
        <w:tc>
          <w:tcPr>
            <w:tcW w:w="754" w:type="pct"/>
            <w:gridSpan w:val="2"/>
            <w:tcBorders>
              <w:top w:val="nil"/>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总分2分。院级中医药重点专科数量</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□1个及以上       2分</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□0个            0分</w:t>
            </w:r>
          </w:p>
        </w:tc>
        <w:tc>
          <w:tcPr>
            <w:tcW w:w="7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1</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64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498" w:hRule="exac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Times New Roman" w:asciiTheme="minorEastAsia" w:hAnsiTheme="minorEastAsia"/>
                <w:sz w:val="18"/>
                <w:szCs w:val="18"/>
              </w:rPr>
              <w:t>优势病种的诊疗服务（方案）</w:t>
            </w:r>
          </w:p>
        </w:tc>
        <w:tc>
          <w:tcPr>
            <w:tcW w:w="754" w:type="pct"/>
            <w:gridSpan w:val="2"/>
            <w:tcBorders>
              <w:top w:val="nil"/>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总分2分。优势病种的诊疗服务（方案）数量</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□2个及以上       2分</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□1个             1分</w:t>
            </w:r>
          </w:p>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□0个             0分</w:t>
            </w:r>
          </w:p>
        </w:tc>
        <w:tc>
          <w:tcPr>
            <w:tcW w:w="7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2</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64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390"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Times New Roman" w:asciiTheme="minorEastAsia" w:hAnsiTheme="minorEastAsia"/>
                <w:sz w:val="18"/>
                <w:szCs w:val="18"/>
              </w:rPr>
              <w:t>服务量占比</w:t>
            </w:r>
          </w:p>
        </w:tc>
        <w:tc>
          <w:tcPr>
            <w:tcW w:w="754" w:type="pct"/>
            <w:gridSpan w:val="2"/>
            <w:tcBorders>
              <w:top w:val="nil"/>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总分2分开展2个以上优势病种诊疗服务量占比</w:t>
            </w:r>
          </w:p>
          <w:p>
            <w:pPr>
              <w:widowControl/>
              <w:jc w:val="left"/>
              <w:rPr>
                <w:rFonts w:cs="Times New Roman" w:asciiTheme="minorEastAsia" w:hAnsiTheme="minorEastAsia"/>
                <w:color w:val="000000"/>
                <w:sz w:val="18"/>
                <w:szCs w:val="18"/>
              </w:rPr>
            </w:pPr>
            <w:r>
              <w:rPr>
                <w:rFonts w:hint="eastAsia" w:cs="Times New Roman" w:asciiTheme="minorEastAsia" w:hAnsiTheme="minorEastAsia"/>
                <w:sz w:val="18"/>
                <w:szCs w:val="18"/>
              </w:rPr>
              <w:t>□40%及以上      2分</w:t>
            </w:r>
          </w:p>
          <w:p>
            <w:pPr>
              <w:widowControl/>
              <w:jc w:val="left"/>
              <w:rPr>
                <w:rFonts w:cs="Times New Roman" w:asciiTheme="minorEastAsia" w:hAnsiTheme="minorEastAsia"/>
                <w:color w:val="000000"/>
                <w:sz w:val="18"/>
                <w:szCs w:val="18"/>
              </w:rPr>
            </w:pPr>
            <w:r>
              <w:rPr>
                <w:rFonts w:hint="eastAsia" w:cs="Times New Roman" w:asciiTheme="minorEastAsia" w:hAnsiTheme="minorEastAsia"/>
                <w:sz w:val="18"/>
                <w:szCs w:val="18"/>
              </w:rPr>
              <w:t>□20%-39%        1分</w:t>
            </w:r>
          </w:p>
          <w:p>
            <w:pPr>
              <w:jc w:val="left"/>
              <w:rPr>
                <w:rFonts w:cs="宋体" w:asciiTheme="minorEastAsia" w:hAnsiTheme="minorEastAsia"/>
                <w:kern w:val="0"/>
                <w:sz w:val="18"/>
                <w:szCs w:val="18"/>
              </w:rPr>
            </w:pPr>
            <w:r>
              <w:rPr>
                <w:rFonts w:hint="eastAsia" w:cs="Times New Roman" w:asciiTheme="minorEastAsia" w:hAnsiTheme="minorEastAsia"/>
                <w:sz w:val="18"/>
                <w:szCs w:val="18"/>
              </w:rPr>
              <w:t>□20%以下        0分</w:t>
            </w:r>
          </w:p>
        </w:tc>
        <w:tc>
          <w:tcPr>
            <w:tcW w:w="7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80%</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383"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Times New Roman" w:asciiTheme="minorEastAsia" w:hAnsiTheme="minorEastAsia"/>
                <w:sz w:val="18"/>
                <w:szCs w:val="18"/>
              </w:rPr>
            </w:pPr>
            <w:r>
              <w:rPr>
                <w:rFonts w:hint="eastAsia" w:cs="Times New Roman" w:asciiTheme="minorEastAsia" w:hAnsiTheme="minorEastAsia"/>
                <w:sz w:val="18"/>
                <w:szCs w:val="18"/>
              </w:rPr>
              <w:t>加强中医药学术传承及人才培养工作，每年至少选派骨干医师和护士参加中医药培训和技术交流</w:t>
            </w:r>
          </w:p>
        </w:tc>
        <w:tc>
          <w:tcPr>
            <w:tcW w:w="754" w:type="pct"/>
            <w:gridSpan w:val="2"/>
            <w:tcBorders>
              <w:top w:val="nil"/>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总分2分。选派骨干医师和护士参加中医药培训和技术交流人数。</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□5人及以上       2分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□2-4人           1分</w:t>
            </w:r>
          </w:p>
          <w:p>
            <w:pPr>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□0-1人           0分</w:t>
            </w:r>
          </w:p>
        </w:tc>
        <w:tc>
          <w:tcPr>
            <w:tcW w:w="72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8</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82"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tcBorders>
              <w:top w:val="single" w:color="auto" w:sz="4" w:space="0"/>
              <w:left w:val="nil"/>
              <w:right w:val="single" w:color="auto" w:sz="4" w:space="0"/>
            </w:tcBorders>
            <w:vAlign w:val="center"/>
          </w:tcPr>
          <w:p>
            <w:pPr>
              <w:widowControl/>
              <w:spacing w:line="240" w:lineRule="exact"/>
              <w:jc w:val="left"/>
              <w:rPr>
                <w:rFonts w:cs="Times New Roman" w:asciiTheme="minorEastAsia" w:hAnsiTheme="minorEastAsia"/>
                <w:sz w:val="18"/>
                <w:szCs w:val="18"/>
              </w:rPr>
            </w:pPr>
            <w:r>
              <w:rPr>
                <w:rFonts w:hint="eastAsia" w:cs="Times New Roman" w:asciiTheme="minorEastAsia" w:hAnsiTheme="minorEastAsia"/>
                <w:sz w:val="18"/>
                <w:szCs w:val="18"/>
              </w:rPr>
              <w:t>积极举办中医药继续教育与技能培训，承担区域内中医药人员的培养任务</w:t>
            </w: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总分2分。区域内中医药人员的培养任务。</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□1人及以上      2分</w:t>
            </w:r>
          </w:p>
          <w:p>
            <w:pPr>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□0人           0分</w:t>
            </w: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1</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84" w:hRule="atLeast"/>
          <w:jc w:val="center"/>
        </w:trPr>
        <w:tc>
          <w:tcPr>
            <w:tcW w:w="266" w:type="pct"/>
            <w:vMerge w:val="continue"/>
            <w:tcBorders>
              <w:left w:val="single" w:color="auto" w:sz="4" w:space="0"/>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nil"/>
              <w:left w:val="single" w:color="auto" w:sz="4" w:space="0"/>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tcBorders>
              <w:top w:val="single" w:color="auto" w:sz="4" w:space="0"/>
              <w:left w:val="nil"/>
              <w:bottom w:val="nil"/>
              <w:right w:val="single" w:color="auto" w:sz="4" w:space="0"/>
            </w:tcBorders>
            <w:vAlign w:val="center"/>
          </w:tcPr>
          <w:p>
            <w:pPr>
              <w:widowControl/>
              <w:spacing w:line="240" w:lineRule="exact"/>
              <w:jc w:val="left"/>
              <w:rPr>
                <w:rFonts w:cs="Times New Roman" w:asciiTheme="minorEastAsia" w:hAnsiTheme="minorEastAsia"/>
                <w:sz w:val="18"/>
                <w:szCs w:val="18"/>
              </w:rPr>
            </w:pPr>
            <w:r>
              <w:rPr>
                <w:rFonts w:hint="eastAsia" w:cs="Times New Roman" w:asciiTheme="minorEastAsia" w:hAnsiTheme="minorEastAsia"/>
                <w:sz w:val="18"/>
                <w:szCs w:val="18"/>
              </w:rPr>
              <w:t>中医药科室承担全院会诊任务</w:t>
            </w: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总分2分。中医药科室承担全院会诊任务。</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□1个及以上       2分</w:t>
            </w:r>
          </w:p>
          <w:p>
            <w:pPr>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□0个             0分</w:t>
            </w: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7</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color w:val="000000"/>
                <w:sz w:val="18"/>
                <w:szCs w:val="18"/>
              </w:rPr>
              <w:t>2</w:t>
            </w:r>
          </w:p>
        </w:tc>
        <w:tc>
          <w:tcPr>
            <w:tcW w:w="642" w:type="pct"/>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99" w:hRule="atLeast"/>
          <w:jc w:val="center"/>
        </w:trPr>
        <w:tc>
          <w:tcPr>
            <w:tcW w:w="266" w:type="pct"/>
            <w:vMerge w:val="continue"/>
            <w:tcBorders>
              <w:left w:val="single" w:color="auto" w:sz="4" w:space="0"/>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1132" w:type="pct"/>
            <w:gridSpan w:val="2"/>
            <w:tcBorders>
              <w:top w:val="single" w:color="auto" w:sz="4" w:space="0"/>
              <w:left w:val="nil"/>
              <w:bottom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综合医院中医科设有独立的中药房，配备必要的中医诊疗设备</w:t>
            </w:r>
            <w:r>
              <w:rPr>
                <w:rFonts w:hint="eastAsia" w:cs="宋体" w:asciiTheme="minorEastAsia" w:hAnsiTheme="minorEastAsia"/>
                <w:color w:val="000000"/>
                <w:kern w:val="0"/>
                <w:sz w:val="18"/>
                <w:szCs w:val="18"/>
              </w:rPr>
              <w:tab/>
            </w: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总分5分。设有独立的中药房，配备必要的中医诊疗设备</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□设有独立的中药房，配备必要的中医诊疗设备              4分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□未设有独立药房，已配备必要的中医诊疗设备             2分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□未设有独立药房，未配备必要的中医诊疗设备             0分</w:t>
            </w: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642" w:type="pct"/>
            <w:gridSpan w:val="2"/>
            <w:vMerge w:val="continue"/>
            <w:tcBorders>
              <w:left w:val="nil"/>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237"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制定中医药传承创新发展的政策措施，促进中医药发展。</w:t>
            </w:r>
            <w:r>
              <w:rPr>
                <w:rFonts w:hint="eastAsia" w:cs="宋体" w:asciiTheme="minorEastAsia" w:hAnsiTheme="minorEastAsia"/>
                <w:color w:val="000000"/>
                <w:kern w:val="0"/>
                <w:sz w:val="18"/>
                <w:szCs w:val="18"/>
              </w:rPr>
              <w:tab/>
            </w:r>
          </w:p>
          <w:p>
            <w:pPr>
              <w:spacing w:line="240" w:lineRule="exact"/>
              <w:jc w:val="left"/>
              <w:rPr>
                <w:rFonts w:cs="宋体" w:asciiTheme="minorEastAsia" w:hAnsiTheme="minorEastAsia"/>
                <w:color w:val="000000"/>
                <w:kern w:val="0"/>
                <w:sz w:val="18"/>
                <w:szCs w:val="18"/>
              </w:rPr>
            </w:pP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总分4分。完善中医药各项制度和服务流程</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□已完善          4分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□部分完善        2分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□未完善          0分</w:t>
            </w:r>
          </w:p>
          <w:p>
            <w:pPr>
              <w:spacing w:line="240" w:lineRule="exact"/>
              <w:jc w:val="left"/>
              <w:rPr>
                <w:rFonts w:cs="宋体" w:asciiTheme="minorEastAsia" w:hAnsiTheme="minorEastAsia"/>
                <w:kern w:val="0"/>
                <w:sz w:val="18"/>
                <w:szCs w:val="18"/>
              </w:rPr>
            </w:pP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已完善</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731"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1132" w:type="pct"/>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及时完成率</w:t>
            </w:r>
            <w:r>
              <w:rPr>
                <w:rFonts w:hint="eastAsia" w:cs="宋体" w:asciiTheme="minorEastAsia" w:hAnsiTheme="minorEastAsia"/>
                <w:color w:val="000000"/>
                <w:kern w:val="0"/>
                <w:sz w:val="18"/>
                <w:szCs w:val="18"/>
              </w:rPr>
              <w:tab/>
            </w: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总分10分。项目及时完成率。</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 xml:space="preserve">□完成90%以上    10分    </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□完成80%以上     8分                   □完成60%以     6分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□未完成          0分</w:t>
            </w:r>
          </w:p>
          <w:p>
            <w:pPr>
              <w:spacing w:line="240" w:lineRule="exact"/>
              <w:jc w:val="left"/>
              <w:rPr>
                <w:rFonts w:cs="宋体" w:asciiTheme="minorEastAsia" w:hAnsiTheme="minorEastAsia"/>
                <w:kern w:val="0"/>
                <w:sz w:val="18"/>
                <w:szCs w:val="18"/>
              </w:rPr>
            </w:pP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kern w:val="0"/>
                <w:sz w:val="18"/>
                <w:szCs w:val="18"/>
                <w:lang w:val="en-US" w:eastAsia="zh-CN"/>
              </w:rPr>
              <w:t>100%</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233"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1132" w:type="pct"/>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成本控制有效性</w:t>
            </w:r>
            <w:r>
              <w:rPr>
                <w:rFonts w:hint="eastAsia" w:cs="宋体" w:asciiTheme="minorEastAsia" w:hAnsiTheme="minorEastAsia"/>
                <w:color w:val="000000"/>
                <w:kern w:val="0"/>
                <w:sz w:val="18"/>
                <w:szCs w:val="18"/>
              </w:rPr>
              <w:tab/>
            </w: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总分20分。不存在截留、挤占、挪用、虚列支出等情况：</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 xml:space="preserve">□不存在   20分         </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□存在            0分</w:t>
            </w:r>
          </w:p>
          <w:p>
            <w:pPr>
              <w:spacing w:line="240" w:lineRule="exact"/>
              <w:jc w:val="left"/>
              <w:rPr>
                <w:rFonts w:cs="宋体" w:asciiTheme="minorEastAsia" w:hAnsiTheme="minorEastAsia"/>
                <w:kern w:val="0"/>
                <w:sz w:val="18"/>
                <w:szCs w:val="18"/>
              </w:rPr>
            </w:pP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Times New Roman" w:asciiTheme="minorEastAsia" w:hAnsiTheme="minorEastAsia"/>
                <w:sz w:val="18"/>
                <w:szCs w:val="18"/>
              </w:rPr>
              <w:t xml:space="preserve">不存在 </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20</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936" w:hRule="exac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效益指标30</w:t>
            </w:r>
          </w:p>
        </w:tc>
        <w:tc>
          <w:tcPr>
            <w:tcW w:w="48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r>
              <w:rPr>
                <w:rFonts w:hint="eastAsia" w:cs="宋体" w:asciiTheme="minorEastAsia" w:hAnsiTheme="minorEastAsia"/>
                <w:kern w:val="0"/>
                <w:sz w:val="18"/>
                <w:szCs w:val="18"/>
              </w:rPr>
              <w:t>不涉及</w:t>
            </w:r>
          </w:p>
        </w:tc>
        <w:tc>
          <w:tcPr>
            <w:tcW w:w="75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不涉及</w:t>
            </w: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4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814"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32" w:type="pct"/>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立足于区级综合医院中医药建设，完善中医药服务体系，建立健全中西医协同工作机制，促进中医药融入综合医院医疗服务体系中，更好的发挥中医药优势特色，满足患者中医药服务需求。</w:t>
            </w:r>
            <w:r>
              <w:rPr>
                <w:rFonts w:hint="eastAsia" w:cs="宋体" w:asciiTheme="minorEastAsia" w:hAnsiTheme="minorEastAsia"/>
                <w:color w:val="000000"/>
                <w:kern w:val="0"/>
                <w:sz w:val="18"/>
                <w:szCs w:val="18"/>
              </w:rPr>
              <w:tab/>
            </w:r>
          </w:p>
        </w:tc>
        <w:tc>
          <w:tcPr>
            <w:tcW w:w="754" w:type="pct"/>
            <w:gridSpan w:val="2"/>
            <w:tcBorders>
              <w:top w:val="single" w:color="auto" w:sz="4" w:space="0"/>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总分15分。满足患者中医药服务需求。</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□完全满足    15分</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□部分满足    10分</w:t>
            </w:r>
          </w:p>
          <w:p>
            <w:pPr>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□未满足      0分</w:t>
            </w: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完全满足</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31" w:hRule="exac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13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r>
              <w:rPr>
                <w:rFonts w:hint="eastAsia" w:cs="宋体" w:asciiTheme="minorEastAsia" w:hAnsiTheme="minorEastAsia"/>
                <w:kern w:val="0"/>
                <w:sz w:val="18"/>
                <w:szCs w:val="18"/>
              </w:rPr>
              <w:t>不涉及</w:t>
            </w:r>
          </w:p>
        </w:tc>
        <w:tc>
          <w:tcPr>
            <w:tcW w:w="75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不涉及</w:t>
            </w:r>
          </w:p>
        </w:tc>
        <w:tc>
          <w:tcPr>
            <w:tcW w:w="72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4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699" w:hRule="atLeast"/>
          <w:jc w:val="center"/>
        </w:trPr>
        <w:tc>
          <w:tcPr>
            <w:tcW w:w="266"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1132" w:type="pct"/>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基层中医药服务能力</w:t>
            </w:r>
            <w:r>
              <w:rPr>
                <w:rFonts w:hint="eastAsia" w:cs="宋体" w:asciiTheme="minorEastAsia" w:hAnsiTheme="minorEastAsia"/>
                <w:color w:val="000000"/>
                <w:kern w:val="0"/>
                <w:sz w:val="18"/>
                <w:szCs w:val="18"/>
              </w:rPr>
              <w:tab/>
            </w:r>
          </w:p>
          <w:p>
            <w:pPr>
              <w:spacing w:line="240" w:lineRule="exact"/>
              <w:jc w:val="left"/>
              <w:rPr>
                <w:rFonts w:cs="宋体" w:asciiTheme="minorEastAsia" w:hAnsiTheme="minorEastAsia"/>
                <w:color w:val="000000"/>
                <w:kern w:val="0"/>
                <w:sz w:val="18"/>
                <w:szCs w:val="18"/>
              </w:rPr>
            </w:pPr>
          </w:p>
        </w:tc>
        <w:tc>
          <w:tcPr>
            <w:tcW w:w="754" w:type="pct"/>
            <w:gridSpan w:val="2"/>
            <w:tcBorders>
              <w:top w:val="nil"/>
              <w:left w:val="nil"/>
              <w:right w:val="single" w:color="auto" w:sz="4" w:space="0"/>
            </w:tcBorders>
            <w:vAlign w:val="center"/>
          </w:tcPr>
          <w:p>
            <w:pPr>
              <w:widowControl/>
              <w:jc w:val="left"/>
              <w:rPr>
                <w:rFonts w:cs="Times New Roman" w:asciiTheme="minorEastAsia" w:hAnsiTheme="minorEastAsia"/>
                <w:sz w:val="18"/>
                <w:szCs w:val="18"/>
              </w:rPr>
            </w:pPr>
            <w:r>
              <w:rPr>
                <w:rFonts w:hint="eastAsia" w:cs="Times New Roman" w:asciiTheme="minorEastAsia" w:hAnsiTheme="minorEastAsia"/>
                <w:sz w:val="18"/>
                <w:szCs w:val="18"/>
              </w:rPr>
              <w:t>总分15分。基层中医药服务能力。</w:t>
            </w:r>
          </w:p>
          <w:p>
            <w:pPr>
              <w:widowControl/>
              <w:jc w:val="left"/>
              <w:rPr>
                <w:rFonts w:cs="Times New Roman" w:asciiTheme="minorEastAsia" w:hAnsiTheme="minorEastAsia"/>
                <w:sz w:val="18"/>
                <w:szCs w:val="18"/>
              </w:rPr>
            </w:pPr>
            <w:r>
              <w:rPr>
                <w:rFonts w:hint="eastAsia" w:cs="Times New Roman" w:asciiTheme="minorEastAsia" w:hAnsiTheme="minorEastAsia"/>
                <w:sz w:val="18"/>
                <w:szCs w:val="18"/>
              </w:rPr>
              <w:t xml:space="preserve">□一定程度提高        </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 xml:space="preserve">分  </w:t>
            </w:r>
            <w:r>
              <w:rPr>
                <w:rFonts w:hint="eastAsia" w:cs="Times New Roman" w:asciiTheme="minorEastAsia" w:hAnsiTheme="minorEastAsia"/>
                <w:sz w:val="18"/>
                <w:szCs w:val="18"/>
              </w:rPr>
              <w:br w:type="textWrapping"/>
            </w:r>
            <w:r>
              <w:rPr>
                <w:rFonts w:hint="eastAsia" w:cs="Times New Roman" w:asciiTheme="minorEastAsia" w:hAnsiTheme="minorEastAsia"/>
                <w:sz w:val="18"/>
                <w:szCs w:val="18"/>
              </w:rPr>
              <w:t xml:space="preserve">□无变化或下降          0分 </w:t>
            </w:r>
          </w:p>
        </w:tc>
        <w:tc>
          <w:tcPr>
            <w:tcW w:w="726" w:type="pct"/>
            <w:gridSpan w:val="2"/>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一定程度提高</w:t>
            </w:r>
          </w:p>
        </w:tc>
        <w:tc>
          <w:tcPr>
            <w:tcW w:w="286" w:type="pct"/>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286" w:type="pct"/>
            <w:tcBorders>
              <w:top w:val="nil"/>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642" w:type="pct"/>
            <w:gridSpan w:val="2"/>
            <w:tcBorders>
              <w:top w:val="single" w:color="auto" w:sz="4" w:space="0"/>
              <w:left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873" w:hRule="atLeast"/>
          <w:jc w:val="center"/>
        </w:trPr>
        <w:tc>
          <w:tcPr>
            <w:tcW w:w="266" w:type="pct"/>
            <w:vMerge w:val="continue"/>
            <w:tcBorders>
              <w:left w:val="single" w:color="auto" w:sz="4" w:space="0"/>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指标10</w:t>
            </w:r>
          </w:p>
        </w:tc>
        <w:tc>
          <w:tcPr>
            <w:tcW w:w="485" w:type="pct"/>
            <w:vMerge w:val="restart"/>
            <w:tcBorders>
              <w:top w:val="single" w:color="auto" w:sz="4" w:space="0"/>
              <w:left w:val="single" w:color="auto" w:sz="4" w:space="0"/>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1132" w:type="pct"/>
            <w:gridSpan w:val="2"/>
            <w:vMerge w:val="restart"/>
            <w:tcBorders>
              <w:top w:val="single" w:color="auto" w:sz="4" w:space="0"/>
              <w:left w:val="nil"/>
              <w:bottom w:val="nil"/>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患者满意度</w:t>
            </w:r>
            <w:r>
              <w:rPr>
                <w:rFonts w:hint="eastAsia" w:cs="宋体" w:asciiTheme="minorEastAsia" w:hAnsiTheme="minorEastAsia"/>
                <w:color w:val="000000"/>
                <w:kern w:val="0"/>
                <w:sz w:val="18"/>
                <w:szCs w:val="18"/>
              </w:rPr>
              <w:tab/>
            </w:r>
          </w:p>
        </w:tc>
        <w:tc>
          <w:tcPr>
            <w:tcW w:w="754" w:type="pct"/>
            <w:gridSpan w:val="2"/>
            <w:vMerge w:val="restart"/>
            <w:tcBorders>
              <w:top w:val="single" w:color="auto" w:sz="4" w:space="0"/>
              <w:left w:val="nil"/>
              <w:bottom w:val="nil"/>
              <w:right w:val="single" w:color="auto" w:sz="4" w:space="0"/>
            </w:tcBorders>
          </w:tcPr>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总分10分。患者满意度调查。</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 xml:space="preserve">□85%及以上      10分   </w:t>
            </w:r>
          </w:p>
          <w:p>
            <w:pPr>
              <w:widowControl/>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 xml:space="preserve">□85%-60%（含）   6分  </w:t>
            </w:r>
          </w:p>
          <w:p>
            <w:pPr>
              <w:spacing w:line="240" w:lineRule="exact"/>
              <w:jc w:val="left"/>
              <w:rPr>
                <w:rFonts w:cs="宋体" w:asciiTheme="minorEastAsia" w:hAnsiTheme="minorEastAsia"/>
                <w:kern w:val="0"/>
                <w:sz w:val="18"/>
                <w:szCs w:val="18"/>
              </w:rPr>
            </w:pPr>
            <w:r>
              <w:rPr>
                <w:rFonts w:hint="eastAsia" w:cs="Times New Roman" w:asciiTheme="minorEastAsia" w:hAnsiTheme="minorEastAsia"/>
                <w:sz w:val="18"/>
                <w:szCs w:val="18"/>
              </w:rPr>
              <w:t>□60%以下         0分</w:t>
            </w:r>
          </w:p>
        </w:tc>
        <w:tc>
          <w:tcPr>
            <w:tcW w:w="726" w:type="pct"/>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kern w:val="0"/>
                <w:sz w:val="18"/>
                <w:szCs w:val="18"/>
                <w:lang w:val="en-US" w:eastAsia="zh-CN"/>
              </w:rPr>
              <w:t>99%</w:t>
            </w:r>
            <w:bookmarkStart w:id="0" w:name="_GoBack"/>
            <w:bookmarkEnd w:id="0"/>
          </w:p>
        </w:tc>
        <w:tc>
          <w:tcPr>
            <w:tcW w:w="286" w:type="pct"/>
            <w:vMerge w:val="restart"/>
            <w:tcBorders>
              <w:top w:val="single" w:color="auto" w:sz="4" w:space="0"/>
              <w:left w:val="nil"/>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86" w:type="pct"/>
            <w:vMerge w:val="restart"/>
            <w:tcBorders>
              <w:top w:val="single" w:color="auto" w:sz="4" w:space="0"/>
              <w:left w:val="nil"/>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642" w:type="pct"/>
            <w:gridSpan w:val="2"/>
            <w:vMerge w:val="restart"/>
            <w:tcBorders>
              <w:top w:val="single" w:color="auto" w:sz="4" w:space="0"/>
              <w:left w:val="nil"/>
              <w:bottom w:val="nil"/>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460" w:hRule="exact"/>
          <w:jc w:val="center"/>
        </w:trPr>
        <w:tc>
          <w:tcPr>
            <w:tcW w:w="266" w:type="pct"/>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22"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85"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32" w:type="pct"/>
            <w:gridSpan w:val="2"/>
            <w:vMerge w:val="continue"/>
            <w:tcBorders>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p>
        </w:tc>
        <w:tc>
          <w:tcPr>
            <w:tcW w:w="754" w:type="pct"/>
            <w:gridSpan w:val="2"/>
            <w:vMerge w:val="continue"/>
            <w:tcBorders>
              <w:left w:val="nil"/>
              <w:bottom w:val="single" w:color="auto" w:sz="4" w:space="0"/>
              <w:right w:val="single" w:color="auto" w:sz="4" w:space="0"/>
            </w:tcBorders>
          </w:tcPr>
          <w:p>
            <w:pPr>
              <w:widowControl/>
              <w:spacing w:line="240" w:lineRule="exact"/>
              <w:jc w:val="left"/>
              <w:rPr>
                <w:rFonts w:cs="宋体" w:asciiTheme="minorEastAsia" w:hAnsiTheme="minorEastAsia"/>
                <w:kern w:val="0"/>
                <w:sz w:val="18"/>
                <w:szCs w:val="18"/>
              </w:rPr>
            </w:pPr>
          </w:p>
        </w:tc>
        <w:tc>
          <w:tcPr>
            <w:tcW w:w="726" w:type="pct"/>
            <w:gridSpan w:val="2"/>
            <w:vMerge w:val="continue"/>
            <w:tcBorders>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6" w:type="pct"/>
            <w:vMerge w:val="continue"/>
            <w:tcBorders>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6" w:type="pct"/>
            <w:vMerge w:val="continue"/>
            <w:tcBorders>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42" w:type="pct"/>
            <w:gridSpan w:val="2"/>
            <w:vMerge w:val="continue"/>
            <w:tcBorders>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91" w:hRule="exact"/>
          <w:jc w:val="center"/>
        </w:trPr>
        <w:tc>
          <w:tcPr>
            <w:tcW w:w="3785" w:type="pct"/>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28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64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
    <w:p/>
    <w:tbl>
      <w:tblPr>
        <w:tblStyle w:val="4"/>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73" w:hRule="atLeast"/>
          <w:jc w:val="center"/>
        </w:trPr>
        <w:tc>
          <w:tcPr>
            <w:tcW w:w="5000" w:type="pct"/>
            <w:tcBorders>
              <w:top w:val="nil"/>
              <w:left w:val="nil"/>
              <w:bottom w:val="nil"/>
              <w:right w:val="nil"/>
            </w:tcBorders>
          </w:tcPr>
          <w:tbl>
            <w:tblPr>
              <w:tblStyle w:val="4"/>
              <w:tblpPr w:leftFromText="180" w:rightFromText="180" w:vertAnchor="text" w:horzAnchor="margin" w:tblpXSpec="center" w:tblpY="-194"/>
              <w:tblOverlap w:val="never"/>
              <w:tblW w:w="8760" w:type="dxa"/>
              <w:tblInd w:w="0" w:type="dxa"/>
              <w:tblLayout w:type="autofit"/>
              <w:tblCellMar>
                <w:top w:w="0" w:type="dxa"/>
                <w:left w:w="108" w:type="dxa"/>
                <w:bottom w:w="0" w:type="dxa"/>
                <w:right w:w="108" w:type="dxa"/>
              </w:tblCellMar>
            </w:tblPr>
            <w:tblGrid>
              <w:gridCol w:w="8760"/>
            </w:tblGrid>
            <w:tr>
              <w:tblPrEx>
                <w:tblCellMar>
                  <w:top w:w="0" w:type="dxa"/>
                  <w:left w:w="108" w:type="dxa"/>
                  <w:bottom w:w="0" w:type="dxa"/>
                  <w:right w:w="108" w:type="dxa"/>
                </w:tblCellMar>
              </w:tblPrEx>
              <w:trPr>
                <w:trHeight w:val="402" w:hRule="exact"/>
              </w:trPr>
              <w:tc>
                <w:tcPr>
                  <w:tcW w:w="8760" w:type="dxa"/>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325" w:hRule="atLeast"/>
              </w:trPr>
              <w:tc>
                <w:tcPr>
                  <w:tcW w:w="8760" w:type="dxa"/>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（2024年度）</w:t>
                  </w:r>
                </w:p>
              </w:tc>
            </w:tr>
          </w:tbl>
          <w:tbl>
            <w:tblPr>
              <w:tblStyle w:val="4"/>
              <w:tblpPr w:leftFromText="180" w:rightFromText="180" w:vertAnchor="text" w:horzAnchor="margin" w:tblpXSpec="center" w:tblpY="804"/>
              <w:tblW w:w="8500" w:type="dxa"/>
              <w:tblInd w:w="0" w:type="dxa"/>
              <w:tblLayout w:type="autofit"/>
              <w:tblCellMar>
                <w:top w:w="0" w:type="dxa"/>
                <w:left w:w="108" w:type="dxa"/>
                <w:bottom w:w="0" w:type="dxa"/>
                <w:right w:w="108" w:type="dxa"/>
              </w:tblCellMar>
            </w:tblPr>
            <w:tblGrid>
              <w:gridCol w:w="396"/>
              <w:gridCol w:w="469"/>
              <w:gridCol w:w="853"/>
              <w:gridCol w:w="1112"/>
              <w:gridCol w:w="694"/>
              <w:gridCol w:w="439"/>
              <w:gridCol w:w="1137"/>
              <w:gridCol w:w="1137"/>
              <w:gridCol w:w="410"/>
              <w:gridCol w:w="298"/>
              <w:gridCol w:w="192"/>
              <w:gridCol w:w="498"/>
              <w:gridCol w:w="158"/>
              <w:gridCol w:w="707"/>
            </w:tblGrid>
            <w:tr>
              <w:tblPrEx>
                <w:tblCellMar>
                  <w:top w:w="0" w:type="dxa"/>
                  <w:left w:w="108" w:type="dxa"/>
                  <w:bottom w:w="0" w:type="dxa"/>
                  <w:right w:w="108" w:type="dxa"/>
                </w:tblCellMar>
              </w:tblPrEx>
              <w:trPr>
                <w:trHeight w:val="267" w:hRule="exact"/>
              </w:trPr>
              <w:tc>
                <w:tcPr>
                  <w:tcW w:w="50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项目名称</w:t>
                  </w:r>
                </w:p>
              </w:tc>
              <w:tc>
                <w:tcPr>
                  <w:tcW w:w="4491" w:type="pct"/>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二院--第三批中医药传承项目</w:t>
                  </w:r>
                </w:p>
              </w:tc>
            </w:tr>
            <w:tr>
              <w:tblPrEx>
                <w:tblCellMar>
                  <w:top w:w="0" w:type="dxa"/>
                  <w:left w:w="108" w:type="dxa"/>
                  <w:bottom w:w="0" w:type="dxa"/>
                  <w:right w:w="108" w:type="dxa"/>
                </w:tblCellMar>
              </w:tblPrEx>
              <w:trPr>
                <w:trHeight w:val="267" w:hRule="exact"/>
              </w:trPr>
              <w:tc>
                <w:tcPr>
                  <w:tcW w:w="50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主管部门</w:t>
                  </w:r>
                </w:p>
              </w:tc>
              <w:tc>
                <w:tcPr>
                  <w:tcW w:w="2491"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北京市西城区卫生健康委员会</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实施单位</w:t>
                  </w:r>
                </w:p>
              </w:tc>
              <w:tc>
                <w:tcPr>
                  <w:tcW w:w="1331"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北京市第二医院</w:t>
                  </w:r>
                </w:p>
              </w:tc>
            </w:tr>
            <w:tr>
              <w:tblPrEx>
                <w:tblCellMar>
                  <w:top w:w="0" w:type="dxa"/>
                  <w:left w:w="108" w:type="dxa"/>
                  <w:bottom w:w="0" w:type="dxa"/>
                  <w:right w:w="108" w:type="dxa"/>
                </w:tblCellMar>
              </w:tblPrEx>
              <w:trPr>
                <w:trHeight w:val="267" w:hRule="exact"/>
              </w:trPr>
              <w:tc>
                <w:tcPr>
                  <w:tcW w:w="509"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项目资金</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（万元）</w:t>
                  </w:r>
                </w:p>
              </w:tc>
              <w:tc>
                <w:tcPr>
                  <w:tcW w:w="11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年初预算数</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全年预算数</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全年执行数</w:t>
                  </w: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499"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执行率</w:t>
                  </w:r>
                </w:p>
              </w:tc>
              <w:tc>
                <w:tcPr>
                  <w:tcW w:w="41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r>
            <w:tr>
              <w:tblPrEx>
                <w:tblCellMar>
                  <w:top w:w="0" w:type="dxa"/>
                  <w:left w:w="108" w:type="dxa"/>
                  <w:bottom w:w="0" w:type="dxa"/>
                  <w:right w:w="108" w:type="dxa"/>
                </w:tblCellMar>
              </w:tblPrEx>
              <w:trPr>
                <w:trHeight w:val="267" w:hRule="exact"/>
              </w:trPr>
              <w:tc>
                <w:tcPr>
                  <w:tcW w:w="50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56"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年度资金总额</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3.8</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3.8</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3.8</w:t>
                  </w: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499"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1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r>
            <w:tr>
              <w:tblPrEx>
                <w:tblCellMar>
                  <w:top w:w="0" w:type="dxa"/>
                  <w:left w:w="108" w:type="dxa"/>
                  <w:bottom w:w="0" w:type="dxa"/>
                  <w:right w:w="108" w:type="dxa"/>
                </w:tblCellMar>
              </w:tblPrEx>
              <w:trPr>
                <w:trHeight w:val="267" w:hRule="exact"/>
              </w:trPr>
              <w:tc>
                <w:tcPr>
                  <w:tcW w:w="50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其中：当年财政拨款</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3.8</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3.8</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3.8</w:t>
                  </w: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9"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41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rPr>
                <w:trHeight w:val="267" w:hRule="exact"/>
              </w:trPr>
              <w:tc>
                <w:tcPr>
                  <w:tcW w:w="50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上年结转资金</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9"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67" w:hRule="exact"/>
              </w:trPr>
              <w:tc>
                <w:tcPr>
                  <w:tcW w:w="50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156"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其他资金</w:t>
                  </w:r>
                </w:p>
              </w:tc>
              <w:tc>
                <w:tcPr>
                  <w:tcW w:w="66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w:t>
                  </w:r>
                </w:p>
              </w:tc>
              <w:tc>
                <w:tcPr>
                  <w:tcW w:w="669"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6"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c>
                <w:tcPr>
                  <w:tcW w:w="499"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415"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w:t>
                  </w:r>
                </w:p>
              </w:tc>
            </w:tr>
            <w:tr>
              <w:tblPrEx>
                <w:tblCellMar>
                  <w:top w:w="0" w:type="dxa"/>
                  <w:left w:w="108" w:type="dxa"/>
                  <w:bottom w:w="0" w:type="dxa"/>
                  <w:right w:w="108" w:type="dxa"/>
                </w:tblCellMar>
              </w:tblPrEx>
              <w:trPr>
                <w:trHeight w:val="267" w:hRule="exact"/>
              </w:trPr>
              <w:tc>
                <w:tcPr>
                  <w:tcW w:w="233"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年度总体目标</w:t>
                  </w:r>
                </w:p>
              </w:tc>
              <w:tc>
                <w:tcPr>
                  <w:tcW w:w="276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预期目标</w:t>
                  </w:r>
                </w:p>
              </w:tc>
              <w:tc>
                <w:tcPr>
                  <w:tcW w:w="2000"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实际完成情况</w:t>
                  </w:r>
                </w:p>
              </w:tc>
            </w:tr>
            <w:tr>
              <w:tblPrEx>
                <w:tblCellMar>
                  <w:top w:w="0" w:type="dxa"/>
                  <w:left w:w="108" w:type="dxa"/>
                  <w:bottom w:w="0" w:type="dxa"/>
                  <w:right w:w="108" w:type="dxa"/>
                </w:tblCellMar>
              </w:tblPrEx>
              <w:trPr>
                <w:trHeight w:val="2251" w:hRule="exact"/>
              </w:trPr>
              <w:tc>
                <w:tcPr>
                  <w:tcW w:w="233"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7" w:type="pct"/>
                  <w:gridSpan w:val="6"/>
                  <w:tcBorders>
                    <w:top w:val="single" w:color="auto" w:sz="4" w:space="0"/>
                    <w:left w:val="nil"/>
                    <w:bottom w:val="single" w:color="auto" w:sz="4" w:space="0"/>
                    <w:right w:val="single" w:color="auto" w:sz="4" w:space="0"/>
                  </w:tcBorders>
                </w:tcPr>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目标1：贯彻落实《关于促进首都中医药事业发展的意见》和《关于支持中医药振兴发展的意见》文件精神</w:t>
                  </w:r>
                </w:p>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目标2：开展西城区第三批中医药传承工程工作，通过跟师学习和独立临床为主，全面系统地继承指导老师的学术思想、临床经验和技术专长等临证精华，提高临床诊疗或技术水平</w:t>
                  </w:r>
                </w:p>
                <w:p>
                  <w:pPr>
                    <w:widowControl/>
                    <w:spacing w:line="240" w:lineRule="exact"/>
                    <w:rPr>
                      <w:rFonts w:cs="宋体" w:asciiTheme="minorEastAsia" w:hAnsiTheme="minorEastAsia"/>
                      <w:kern w:val="0"/>
                      <w:sz w:val="18"/>
                      <w:szCs w:val="18"/>
                    </w:rPr>
                  </w:pPr>
                  <w:r>
                    <w:rPr>
                      <w:rFonts w:hint="eastAsia" w:cs="宋体" w:asciiTheme="minorEastAsia" w:hAnsiTheme="minorEastAsia"/>
                      <w:kern w:val="0"/>
                      <w:sz w:val="18"/>
                      <w:szCs w:val="18"/>
                    </w:rPr>
                    <w:t>目标3：加强医院中医药人才梯队建设" 目标3：根据申请时提出的研究计划，落实研究工作，保证研究项目按计划实施，开展样本收集。</w:t>
                  </w:r>
                </w:p>
              </w:tc>
              <w:tc>
                <w:tcPr>
                  <w:tcW w:w="2000"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按照《北京市西城区中医药传承工程实施方案》开展工作。</w:t>
                  </w:r>
                </w:p>
              </w:tc>
            </w:tr>
            <w:tr>
              <w:tblPrEx>
                <w:tblCellMar>
                  <w:top w:w="0" w:type="dxa"/>
                  <w:left w:w="108" w:type="dxa"/>
                  <w:bottom w:w="0" w:type="dxa"/>
                  <w:right w:w="108" w:type="dxa"/>
                </w:tblCellMar>
              </w:tblPrEx>
              <w:trPr>
                <w:trHeight w:val="719" w:hRule="exact"/>
              </w:trPr>
              <w:tc>
                <w:tcPr>
                  <w:tcW w:w="233" w:type="pct"/>
                  <w:vMerge w:val="restart"/>
                  <w:tcBorders>
                    <w:top w:val="nil"/>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绩</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效</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指</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标</w:t>
                  </w:r>
                </w:p>
              </w:tc>
              <w:tc>
                <w:tcPr>
                  <w:tcW w:w="276"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一级指标</w:t>
                  </w:r>
                </w:p>
              </w:tc>
              <w:tc>
                <w:tcPr>
                  <w:tcW w:w="502"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二级指标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三级指标</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年度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指标值</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实际</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完成值</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分值</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得分</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偏差原因分析及改进措施</w:t>
                  </w:r>
                </w:p>
              </w:tc>
            </w:tr>
            <w:tr>
              <w:tblPrEx>
                <w:tblCellMar>
                  <w:top w:w="0" w:type="dxa"/>
                  <w:left w:w="108" w:type="dxa"/>
                  <w:bottom w:w="0" w:type="dxa"/>
                  <w:right w:w="108" w:type="dxa"/>
                </w:tblCellMar>
              </w:tblPrEx>
              <w:trPr>
                <w:trHeight w:val="406"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产出指标</w:t>
                  </w:r>
                </w:p>
              </w:tc>
              <w:tc>
                <w:tcPr>
                  <w:tcW w:w="50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数量指标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指标1跟师笔记完成率</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p>
                  <w:pPr>
                    <w:rPr>
                      <w:rFonts w:asciiTheme="minorEastAsia" w:hAnsiTheme="minorEastAsia"/>
                      <w:sz w:val="18"/>
                      <w:szCs w:val="18"/>
                    </w:rPr>
                  </w:pPr>
                </w:p>
                <w:p>
                  <w:pPr>
                    <w:jc w:val="center"/>
                    <w:rPr>
                      <w:rFonts w:asciiTheme="minorEastAsia" w:hAnsiTheme="minorEastAsia"/>
                      <w:sz w:val="18"/>
                      <w:szCs w:val="18"/>
                    </w:rPr>
                  </w:pPr>
                  <w:r>
                    <w:rPr>
                      <w:rFonts w:hint="eastAsia" w:asciiTheme="minorEastAsia" w:hAnsiTheme="minorEastAsia"/>
                      <w:sz w:val="18"/>
                      <w:szCs w:val="18"/>
                    </w:rPr>
                    <w:t>80</w:t>
                  </w:r>
                </w:p>
              </w:tc>
              <w:tc>
                <w:tcPr>
                  <w:tcW w:w="910" w:type="pct"/>
                  <w:gridSpan w:val="2"/>
                  <w:vMerge w:val="restart"/>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80</w:t>
                  </w:r>
                </w:p>
              </w:tc>
              <w:tc>
                <w:tcPr>
                  <w:tcW w:w="288" w:type="pct"/>
                  <w:gridSpan w:val="2"/>
                  <w:vMerge w:val="restart"/>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35</w:t>
                  </w:r>
                </w:p>
              </w:tc>
              <w:tc>
                <w:tcPr>
                  <w:tcW w:w="293" w:type="pct"/>
                  <w:vMerge w:val="restart"/>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35</w:t>
                  </w:r>
                </w:p>
              </w:tc>
              <w:tc>
                <w:tcPr>
                  <w:tcW w:w="509"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26"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 xml:space="preserve"> 指标2：经典学习完成率</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完成</w:t>
                  </w:r>
                </w:p>
              </w:tc>
              <w:tc>
                <w:tcPr>
                  <w:tcW w:w="910" w:type="pct"/>
                  <w:gridSpan w:val="2"/>
                  <w:vMerge w:val="continue"/>
                  <w:tcBorders>
                    <w:top w:val="nil"/>
                    <w:left w:val="nil"/>
                    <w:bottom w:val="single" w:color="auto" w:sz="4" w:space="0"/>
                    <w:right w:val="single" w:color="auto" w:sz="4" w:space="0"/>
                  </w:tcBorders>
                  <w:vAlign w:val="center"/>
                </w:tcPr>
                <w:p>
                  <w:pPr>
                    <w:jc w:val="center"/>
                    <w:rPr>
                      <w:rFonts w:cs="宋体" w:asciiTheme="minorEastAsia" w:hAnsiTheme="minorEastAsia"/>
                      <w:kern w:val="0"/>
                      <w:sz w:val="18"/>
                      <w:szCs w:val="18"/>
                    </w:rPr>
                  </w:pPr>
                </w:p>
              </w:tc>
              <w:tc>
                <w:tcPr>
                  <w:tcW w:w="288" w:type="pct"/>
                  <w:gridSpan w:val="2"/>
                  <w:vMerge w:val="continue"/>
                  <w:tcBorders>
                    <w:top w:val="nil"/>
                    <w:left w:val="nil"/>
                    <w:bottom w:val="single" w:color="auto" w:sz="4" w:space="0"/>
                    <w:right w:val="single" w:color="auto" w:sz="4" w:space="0"/>
                  </w:tcBorders>
                  <w:vAlign w:val="center"/>
                </w:tcPr>
                <w:p>
                  <w:pPr>
                    <w:jc w:val="center"/>
                    <w:rPr>
                      <w:rFonts w:cs="宋体" w:asciiTheme="minorEastAsia" w:hAnsiTheme="minorEastAsia"/>
                      <w:kern w:val="0"/>
                      <w:sz w:val="18"/>
                      <w:szCs w:val="18"/>
                    </w:rPr>
                  </w:pPr>
                </w:p>
              </w:tc>
              <w:tc>
                <w:tcPr>
                  <w:tcW w:w="293" w:type="pct"/>
                  <w:vMerge w:val="continue"/>
                  <w:tcBorders>
                    <w:top w:val="nil"/>
                    <w:left w:val="nil"/>
                    <w:bottom w:val="single" w:color="auto" w:sz="4" w:space="0"/>
                    <w:right w:val="single" w:color="auto" w:sz="4" w:space="0"/>
                  </w:tcBorders>
                  <w:vAlign w:val="center"/>
                </w:tcPr>
                <w:p>
                  <w:pPr>
                    <w:jc w:val="center"/>
                    <w:rPr>
                      <w:rFonts w:cs="宋体" w:asciiTheme="minorEastAsia" w:hAnsiTheme="minorEastAsia"/>
                      <w:kern w:val="0"/>
                      <w:sz w:val="18"/>
                      <w:szCs w:val="18"/>
                    </w:rPr>
                  </w:pPr>
                </w:p>
              </w:tc>
              <w:tc>
                <w:tcPr>
                  <w:tcW w:w="509" w:type="pct"/>
                  <w:gridSpan w:val="2"/>
                  <w:tcBorders>
                    <w:top w:val="single" w:color="auto" w:sz="4" w:space="0"/>
                    <w:left w:val="nil"/>
                    <w:bottom w:val="single" w:color="auto" w:sz="4" w:space="0"/>
                    <w:right w:val="single" w:color="auto" w:sz="4" w:space="0"/>
                  </w:tcBorders>
                  <w:vAlign w:val="center"/>
                </w:tcPr>
                <w:p>
                  <w:pPr>
                    <w:widowControl/>
                    <w:jc w:val="left"/>
                    <w:textAlignment w:val="center"/>
                    <w:rPr>
                      <w:rFonts w:cs="宋体" w:asciiTheme="minorEastAsia" w:hAnsiTheme="minorEastAsia"/>
                      <w:kern w:val="0"/>
                      <w:sz w:val="18"/>
                      <w:szCs w:val="18"/>
                    </w:rPr>
                  </w:pPr>
                </w:p>
              </w:tc>
            </w:tr>
            <w:tr>
              <w:trPr>
                <w:trHeight w:val="1133"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质量指标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 20份指导老师临床医案（实践技能总结）时性</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项目目标按计划完成率100%</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78"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指标2：每年撰写学习心得4篇以上</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项目目标按计划完成率100%</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010"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时效指标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指标1：按时间进度执行</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跟师学习每周不少于2个半天；理论学习包括自学研修、网络在线学习和集中理论学习，其中集中理论学习每年不少于2次</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rPr>
                <w:trHeight w:val="497"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成本指标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指标1：项目所需材料费</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预估成本：万元</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0 万元</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778"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效益指标</w:t>
                  </w:r>
                </w:p>
              </w:tc>
              <w:tc>
                <w:tcPr>
                  <w:tcW w:w="50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经济效益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指标1：增加中医专科门诊服务能力及服务量</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增加中医专科门诊服务能力及服务量</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100%</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5800"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社会效益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color w:val="000000"/>
                      <w:kern w:val="0"/>
                      <w:sz w:val="18"/>
                      <w:szCs w:val="18"/>
                    </w:rPr>
                    <w:t>指标1：</w:t>
                  </w:r>
                  <w:r>
                    <w:rPr>
                      <w:rFonts w:hint="eastAsia" w:cs="宋体" w:asciiTheme="minorEastAsia" w:hAnsiTheme="minorEastAsia"/>
                      <w:kern w:val="0"/>
                      <w:sz w:val="18"/>
                      <w:szCs w:val="18"/>
                    </w:rPr>
                    <w:t>社会效益</w:t>
                  </w:r>
                </w:p>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kern w:val="0"/>
                      <w:sz w:val="18"/>
                      <w:szCs w:val="18"/>
                    </w:rPr>
                    <w:t>指标</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left"/>
                    <w:rPr>
                      <w:rFonts w:cs="宋体" w:asciiTheme="minorEastAsia" w:hAnsiTheme="minorEastAsia"/>
                      <w:kern w:val="0"/>
                      <w:sz w:val="18"/>
                      <w:szCs w:val="18"/>
                    </w:rPr>
                  </w:pPr>
                  <w:r>
                    <w:rPr>
                      <w:rFonts w:hint="eastAsia" w:cs="宋体" w:asciiTheme="minorEastAsia" w:hAnsiTheme="minorEastAsia"/>
                      <w:kern w:val="0"/>
                      <w:sz w:val="18"/>
                      <w:szCs w:val="18"/>
                    </w:rPr>
                    <w:t>为贯彻落实《关于促进首都中医药事业发展的意见》和《关于支持中医药振兴发展的意见》文件精神，进一步做好中医药专家学术经验继承工作，通过西城区第二批中医药传承工程，使医师在整理、传承、凝练中医药专家学术经验和技术专长的基础上，尽快成长为理论功底深厚、诊疗技术精湛、专业特色突出、医德医风高尚的中医药骨干人才，加强医院中医药人才梯队建设。满足广大人民群众就医需求。</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提升中医药骨干人才专业技术能力，加强中医人才梯队建设。</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267"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生态效益</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指标1：不涉及</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1004" w:hRule="exact"/>
              </w:trPr>
              <w:tc>
                <w:tcPr>
                  <w:tcW w:w="233" w:type="pct"/>
                  <w:vMerge w:val="continue"/>
                  <w:tcBorders>
                    <w:left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502"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可持续影响指标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w:t>
                  </w:r>
                  <w:r>
                    <w:rPr>
                      <w:rFonts w:hint="eastAsia" w:cs="宋体" w:asciiTheme="minorEastAsia" w:hAnsiTheme="minorEastAsia"/>
                      <w:kern w:val="0"/>
                      <w:sz w:val="18"/>
                      <w:szCs w:val="18"/>
                    </w:rPr>
                    <w:t>可持续影响指标</w:t>
                  </w:r>
                </w:p>
              </w:tc>
              <w:tc>
                <w:tcPr>
                  <w:tcW w:w="927"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中医药人才梯队建设，提升专业技术服务水平，发展战略及可持续性十分明显</w:t>
                  </w:r>
                </w:p>
              </w:tc>
              <w:tc>
                <w:tcPr>
                  <w:tcW w:w="910"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可持续性明显</w:t>
                  </w:r>
                </w:p>
              </w:tc>
              <w:tc>
                <w:tcPr>
                  <w:tcW w:w="288" w:type="pct"/>
                  <w:gridSpan w:val="2"/>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293" w:type="pct"/>
                  <w:tcBorders>
                    <w:top w:val="nil"/>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97" w:hRule="exact"/>
              </w:trPr>
              <w:tc>
                <w:tcPr>
                  <w:tcW w:w="233"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c>
                <w:tcPr>
                  <w:tcW w:w="27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满意度</w:t>
                  </w:r>
                </w:p>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指标</w:t>
                  </w:r>
                </w:p>
              </w:tc>
              <w:tc>
                <w:tcPr>
                  <w:tcW w:w="502"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服务对象满意度指标</w:t>
                  </w:r>
                </w:p>
              </w:tc>
              <w:tc>
                <w:tcPr>
                  <w:tcW w:w="1062"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指标1：服务对象</w:t>
                  </w:r>
                </w:p>
                <w:p>
                  <w:pPr>
                    <w:widowControl/>
                    <w:spacing w:line="240" w:lineRule="exact"/>
                    <w:jc w:val="left"/>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满意度指标</w:t>
                  </w:r>
                </w:p>
              </w:tc>
              <w:tc>
                <w:tcPr>
                  <w:tcW w:w="92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患者满意度90%以上</w:t>
                  </w:r>
                </w:p>
              </w:tc>
              <w:tc>
                <w:tcPr>
                  <w:tcW w:w="91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95%</w:t>
                  </w:r>
                </w:p>
              </w:tc>
              <w:tc>
                <w:tcPr>
                  <w:tcW w:w="288"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293"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50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r>
              <w:tblPrEx>
                <w:tblCellMar>
                  <w:top w:w="0" w:type="dxa"/>
                  <w:left w:w="108" w:type="dxa"/>
                  <w:bottom w:w="0" w:type="dxa"/>
                  <w:right w:w="108" w:type="dxa"/>
                </w:tblCellMar>
              </w:tblPrEx>
              <w:trPr>
                <w:trHeight w:val="487" w:hRule="exact"/>
              </w:trPr>
              <w:tc>
                <w:tcPr>
                  <w:tcW w:w="3910" w:type="pct"/>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总分</w:t>
                  </w:r>
                </w:p>
              </w:tc>
              <w:tc>
                <w:tcPr>
                  <w:tcW w:w="288"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29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100</w:t>
                  </w:r>
                </w:p>
              </w:tc>
              <w:tc>
                <w:tcPr>
                  <w:tcW w:w="50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kern w:val="0"/>
                      <w:sz w:val="18"/>
                      <w:szCs w:val="18"/>
                    </w:rPr>
                  </w:pPr>
                </w:p>
              </w:tc>
            </w:tr>
          </w:tbl>
          <w:p>
            <w:pPr>
              <w:widowControl/>
              <w:rPr>
                <w:rFonts w:ascii="宋体" w:hAnsi="宋体" w:eastAsia="宋体" w:cs="宋体"/>
                <w:kern w:val="0"/>
                <w:sz w:val="22"/>
                <w:szCs w:val="24"/>
              </w:rPr>
            </w:pPr>
          </w:p>
        </w:tc>
      </w:tr>
    </w:tbl>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p>
      <w:pPr>
        <w:spacing w:line="640" w:lineRule="exact"/>
        <w:rPr>
          <w:rFonts w:ascii="仿宋_GB2312" w:hAnsi="Times New Roman" w:eastAsia="仿宋_GB2312" w:cs="Times New Roman"/>
          <w:b/>
          <w:sz w:val="32"/>
          <w:szCs w:val="32"/>
        </w:rPr>
      </w:pPr>
    </w:p>
    <w:tbl>
      <w:tblPr>
        <w:tblStyle w:val="4"/>
        <w:tblW w:w="10580" w:type="dxa"/>
        <w:jc w:val="center"/>
        <w:tblLayout w:type="fixed"/>
        <w:tblCellMar>
          <w:top w:w="0" w:type="dxa"/>
          <w:left w:w="108" w:type="dxa"/>
          <w:bottom w:w="0" w:type="dxa"/>
          <w:right w:w="108" w:type="dxa"/>
        </w:tblCellMar>
      </w:tblPr>
      <w:tblGrid>
        <w:gridCol w:w="10580"/>
      </w:tblGrid>
      <w:tr>
        <w:tblPrEx>
          <w:tblCellMar>
            <w:top w:w="0" w:type="dxa"/>
            <w:left w:w="108" w:type="dxa"/>
            <w:bottom w:w="0" w:type="dxa"/>
            <w:right w:w="108" w:type="dxa"/>
          </w:tblCellMar>
        </w:tblPrEx>
        <w:trPr>
          <w:trHeight w:val="90" w:hRule="exact"/>
          <w:jc w:val="center"/>
        </w:trPr>
        <w:tc>
          <w:tcPr>
            <w:tcW w:w="10580" w:type="dxa"/>
            <w:tcBorders>
              <w:top w:val="nil"/>
              <w:left w:val="nil"/>
              <w:bottom w:val="nil"/>
              <w:right w:val="nil"/>
            </w:tcBorders>
            <w:vAlign w:val="center"/>
          </w:tcPr>
          <w:p>
            <w:pPr>
              <w:widowControl/>
              <w:spacing w:line="320" w:lineRule="exact"/>
              <w:rPr>
                <w:rFonts w:ascii="宋体" w:hAnsi="宋体" w:eastAsia="宋体" w:cs="宋体"/>
                <w:b/>
                <w:bCs/>
                <w:kern w:val="0"/>
                <w:sz w:val="32"/>
                <w:szCs w:val="32"/>
              </w:rPr>
            </w:pPr>
          </w:p>
        </w:tc>
      </w:tr>
    </w:tbl>
    <w:p/>
    <w:tbl>
      <w:tblPr>
        <w:tblStyle w:val="4"/>
        <w:tblW w:w="5005" w:type="pct"/>
        <w:jc w:val="center"/>
        <w:tblLayout w:type="fixed"/>
        <w:tblCellMar>
          <w:top w:w="0" w:type="dxa"/>
          <w:left w:w="108" w:type="dxa"/>
          <w:bottom w:w="0" w:type="dxa"/>
          <w:right w:w="108" w:type="dxa"/>
        </w:tblCellMar>
      </w:tblPr>
      <w:tblGrid>
        <w:gridCol w:w="714"/>
        <w:gridCol w:w="392"/>
        <w:gridCol w:w="466"/>
        <w:gridCol w:w="850"/>
        <w:gridCol w:w="527"/>
        <w:gridCol w:w="1037"/>
        <w:gridCol w:w="94"/>
        <w:gridCol w:w="1133"/>
        <w:gridCol w:w="730"/>
        <w:gridCol w:w="408"/>
        <w:gridCol w:w="87"/>
        <w:gridCol w:w="621"/>
        <w:gridCol w:w="851"/>
        <w:gridCol w:w="621"/>
      </w:tblGrid>
      <w:tr>
        <w:tblPrEx>
          <w:tblCellMar>
            <w:top w:w="0" w:type="dxa"/>
            <w:left w:w="108" w:type="dxa"/>
            <w:bottom w:w="0" w:type="dxa"/>
            <w:right w:w="108" w:type="dxa"/>
          </w:tblCellMar>
        </w:tblPrEx>
        <w:trPr>
          <w:trHeight w:val="440" w:hRule="exact"/>
          <w:jc w:val="center"/>
        </w:trPr>
        <w:tc>
          <w:tcPr>
            <w:tcW w:w="5000" w:type="pct"/>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（2024年度）</w:t>
            </w:r>
          </w:p>
        </w:tc>
      </w:tr>
      <w:tr>
        <w:tblPrEx>
          <w:tblCellMar>
            <w:top w:w="0" w:type="dxa"/>
            <w:left w:w="108" w:type="dxa"/>
            <w:bottom w:w="0" w:type="dxa"/>
            <w:right w:w="108" w:type="dxa"/>
          </w:tblCellMar>
        </w:tblPrEx>
        <w:trPr>
          <w:trHeight w:val="605" w:hRule="exact"/>
          <w:jc w:val="center"/>
        </w:trPr>
        <w:tc>
          <w:tcPr>
            <w:tcW w:w="648"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352" w:type="pct"/>
            <w:gridSpan w:val="1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京财社指[2023]2335号北京市财政局关于提前下达2024年中央转移支付医疗服务与保障能力提升（医疗卫生机构能力建设、卫生健康人才培养）补助资金（第二医院）</w:t>
            </w:r>
          </w:p>
        </w:tc>
      </w:tr>
      <w:tr>
        <w:tblPrEx>
          <w:tblCellMar>
            <w:top w:w="0" w:type="dxa"/>
            <w:left w:w="108" w:type="dxa"/>
            <w:bottom w:w="0" w:type="dxa"/>
            <w:right w:w="108" w:type="dxa"/>
          </w:tblCellMar>
        </w:tblPrEx>
        <w:trPr>
          <w:trHeight w:val="291" w:hRule="exact"/>
          <w:jc w:val="center"/>
        </w:trPr>
        <w:tc>
          <w:tcPr>
            <w:tcW w:w="648"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2407"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北京市西城区卫生健康委员会</w:t>
            </w:r>
          </w:p>
        </w:tc>
        <w:tc>
          <w:tcPr>
            <w:tcW w:w="66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278" w:type="pct"/>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64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080"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3"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6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66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1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49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6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pct"/>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663"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66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41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9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539" w:hRule="exact"/>
          <w:jc w:val="center"/>
        </w:trPr>
        <w:tc>
          <w:tcPr>
            <w:tcW w:w="6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663"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66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41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542" w:hRule="exact"/>
          <w:jc w:val="center"/>
        </w:trPr>
        <w:tc>
          <w:tcPr>
            <w:tcW w:w="6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上年结转资金</w:t>
            </w:r>
          </w:p>
        </w:tc>
        <w:tc>
          <w:tcPr>
            <w:tcW w:w="663"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64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0"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其他资金</w:t>
            </w:r>
          </w:p>
        </w:tc>
        <w:tc>
          <w:tcPr>
            <w:tcW w:w="663"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6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1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99"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418"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637" w:type="pct"/>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1945"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2088" w:hRule="exact"/>
          <w:jc w:val="center"/>
        </w:trPr>
        <w:tc>
          <w:tcPr>
            <w:tcW w:w="418"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637" w:type="pct"/>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目标1：按照国家疾控局关于国家传染病智能监测预警前置软件服务器软硬件环境配置的要求,完成软硬件配置工作； 目标2：按照相关数据时效性要求，完成系统对接和数据上报测试；</w:t>
            </w:r>
          </w:p>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目标3：组织系统部署上线后开展业务培训，保证监测数据上报质量，保障数据安全。</w:t>
            </w:r>
          </w:p>
        </w:tc>
        <w:tc>
          <w:tcPr>
            <w:tcW w:w="1945"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目标1：按照国家疾控局关于国家传染病智能监测预警前置软件服务器软硬件环境配置的要求,完成软硬件配置工作；目标2：按照相关数据时效性要求，完成系统对接和数据上报测试；目标3：组织系统部署上线后开展业务培训，保证监测数据上报质量，保障数据安全。</w:t>
            </w:r>
          </w:p>
        </w:tc>
      </w:tr>
      <w:tr>
        <w:tblPrEx>
          <w:tblCellMar>
            <w:top w:w="0" w:type="dxa"/>
            <w:left w:w="108" w:type="dxa"/>
            <w:bottom w:w="0" w:type="dxa"/>
            <w:right w:w="108" w:type="dxa"/>
          </w:tblCellMar>
        </w:tblPrEx>
        <w:trPr>
          <w:trHeight w:val="517" w:hRule="exact"/>
          <w:jc w:val="center"/>
        </w:trPr>
        <w:tc>
          <w:tcPr>
            <w:tcW w:w="418" w:type="pct"/>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503"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49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771"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指标1：根据业务目标完成软件部署应用</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完成率100%</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76"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指标1：项目建设验收达到预期技术目标</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系统上线稳定运行100%</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12"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指标1：按照规定任务时间节点推进工作，10月底完成软件部署应用</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2024年10月底完成软件部署应用</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按规定时间完成</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14"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指标1：项目支出符合预算费用明细</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符合率100%</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90" w:type="pct"/>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364" w:type="pct"/>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4"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指标2：利用医院现有硬件资源，不涉及硬件采购</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硬件采购0元</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硬件采购0元</w:t>
            </w:r>
          </w:p>
        </w:tc>
        <w:tc>
          <w:tcPr>
            <w:tcW w:w="290" w:type="pct"/>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64"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指标1：通过智能监测、智能提取、识别及上报、统计功能以及信息共享交互功能，提升传染病预警能力，降低人力成本</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降低人力成本，提高传染病预警能力</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92"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指标1：实现医疗机构传染病相关数据自动化交换，提高数据集成、风险识别、智能分析和及时预警能力</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提高数据集成、风险识别、智能分析和及时预警能力</w:t>
            </w: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不涉及</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51"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不涉及</w:t>
            </w:r>
          </w:p>
        </w:tc>
        <w:tc>
          <w:tcPr>
            <w:tcW w:w="719" w:type="pct"/>
            <w:gridSpan w:val="2"/>
            <w:tcBorders>
              <w:top w:val="nil"/>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p>
        </w:tc>
        <w:tc>
          <w:tcPr>
            <w:tcW w:w="42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14" w:hRule="exact"/>
          <w:jc w:val="center"/>
        </w:trPr>
        <w:tc>
          <w:tcPr>
            <w:tcW w:w="418"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3" w:type="pct"/>
            <w:gridSpan w:val="2"/>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4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917"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指标1：提升服务满意度</w:t>
            </w:r>
          </w:p>
        </w:tc>
        <w:tc>
          <w:tcPr>
            <w:tcW w:w="719" w:type="pct"/>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服务满意度≥95%</w:t>
            </w:r>
          </w:p>
        </w:tc>
        <w:tc>
          <w:tcPr>
            <w:tcW w:w="42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已完成</w:t>
            </w:r>
          </w:p>
        </w:tc>
        <w:tc>
          <w:tcPr>
            <w:tcW w:w="290"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364"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3483" w:type="pct"/>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290"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64"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63"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
    <w:p/>
    <w:p/>
    <w:p/>
    <w:p/>
    <w:p/>
    <w:p/>
    <w:p/>
    <w:p/>
    <w:p/>
    <w:p/>
    <w:p/>
    <w:p/>
    <w:p/>
    <w:p/>
    <w:tbl>
      <w:tblPr>
        <w:tblStyle w:val="4"/>
        <w:tblW w:w="5138" w:type="pct"/>
        <w:jc w:val="center"/>
        <w:tblLayout w:type="autofit"/>
        <w:tblCellMar>
          <w:top w:w="0" w:type="dxa"/>
          <w:left w:w="108" w:type="dxa"/>
          <w:bottom w:w="0" w:type="dxa"/>
          <w:right w:w="108" w:type="dxa"/>
        </w:tblCellMar>
      </w:tblPr>
      <w:tblGrid>
        <w:gridCol w:w="552"/>
        <w:gridCol w:w="634"/>
        <w:gridCol w:w="1103"/>
        <w:gridCol w:w="795"/>
        <w:gridCol w:w="1133"/>
        <w:gridCol w:w="233"/>
        <w:gridCol w:w="904"/>
        <w:gridCol w:w="837"/>
        <w:gridCol w:w="296"/>
        <w:gridCol w:w="193"/>
        <w:gridCol w:w="518"/>
        <w:gridCol w:w="897"/>
        <w:gridCol w:w="662"/>
      </w:tblGrid>
      <w:tr>
        <w:trPr>
          <w:trHeight w:val="440" w:hRule="exact"/>
          <w:jc w:val="center"/>
        </w:trPr>
        <w:tc>
          <w:tcPr>
            <w:tcW w:w="5000" w:type="pct"/>
            <w:gridSpan w:val="13"/>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5000" w:type="pct"/>
            <w:gridSpan w:val="13"/>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2024  年度）</w:t>
            </w:r>
          </w:p>
        </w:tc>
      </w:tr>
      <w:tr>
        <w:tblPrEx>
          <w:tblCellMar>
            <w:top w:w="0" w:type="dxa"/>
            <w:left w:w="108" w:type="dxa"/>
            <w:bottom w:w="0" w:type="dxa"/>
            <w:right w:w="108" w:type="dxa"/>
          </w:tblCellMar>
        </w:tblPrEx>
        <w:trPr>
          <w:trHeight w:val="456" w:hRule="exact"/>
          <w:jc w:val="center"/>
        </w:trPr>
        <w:tc>
          <w:tcPr>
            <w:tcW w:w="677"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4323" w:type="pct"/>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退休人员体检费</w:t>
            </w:r>
          </w:p>
        </w:tc>
      </w:tr>
      <w:tr>
        <w:tblPrEx>
          <w:tblCellMar>
            <w:top w:w="0" w:type="dxa"/>
            <w:left w:w="108" w:type="dxa"/>
            <w:bottom w:w="0" w:type="dxa"/>
            <w:right w:w="108" w:type="dxa"/>
          </w:tblCellMar>
        </w:tblPrEx>
        <w:trPr>
          <w:trHeight w:val="291" w:hRule="exact"/>
          <w:jc w:val="center"/>
        </w:trPr>
        <w:tc>
          <w:tcPr>
            <w:tcW w:w="677"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2379" w:type="pct"/>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北京市西城区卫生健康委</w:t>
            </w:r>
          </w:p>
        </w:tc>
        <w:tc>
          <w:tcPr>
            <w:tcW w:w="64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297" w:type="pct"/>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北京市第二医院</w:t>
            </w:r>
          </w:p>
        </w:tc>
      </w:tr>
      <w:tr>
        <w:tblPrEx>
          <w:tblCellMar>
            <w:top w:w="0" w:type="dxa"/>
            <w:left w:w="108" w:type="dxa"/>
            <w:bottom w:w="0" w:type="dxa"/>
            <w:right w:w="108" w:type="dxa"/>
          </w:tblCellMar>
        </w:tblPrEx>
        <w:trPr>
          <w:trHeight w:val="291" w:hRule="exact"/>
          <w:jc w:val="center"/>
        </w:trPr>
        <w:tc>
          <w:tcPr>
            <w:tcW w:w="677"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0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47"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648"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64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0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1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380"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91" w:hRule="exact"/>
          <w:jc w:val="center"/>
        </w:trPr>
        <w:tc>
          <w:tcPr>
            <w:tcW w:w="67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4" w:type="pct"/>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647"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w:t>
            </w:r>
          </w:p>
        </w:tc>
        <w:tc>
          <w:tcPr>
            <w:tcW w:w="648"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w:t>
            </w:r>
          </w:p>
        </w:tc>
        <w:tc>
          <w:tcPr>
            <w:tcW w:w="64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w:t>
            </w:r>
          </w:p>
        </w:tc>
        <w:tc>
          <w:tcPr>
            <w:tcW w:w="40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1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380"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91" w:hRule="exact"/>
          <w:jc w:val="center"/>
        </w:trPr>
        <w:tc>
          <w:tcPr>
            <w:tcW w:w="67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647"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w:t>
            </w:r>
          </w:p>
        </w:tc>
        <w:tc>
          <w:tcPr>
            <w:tcW w:w="648"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w:t>
            </w:r>
          </w:p>
        </w:tc>
        <w:tc>
          <w:tcPr>
            <w:tcW w:w="64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w:t>
            </w:r>
          </w:p>
        </w:tc>
        <w:tc>
          <w:tcPr>
            <w:tcW w:w="40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0"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67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647"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48"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4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0"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67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84"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647"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48"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47"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405"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12"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80"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315"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2741"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1944" w:type="pct"/>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384" w:hRule="exact"/>
          <w:jc w:val="center"/>
        </w:trPr>
        <w:tc>
          <w:tcPr>
            <w:tcW w:w="31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741"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为保障退休人员健康幸福生活，提高生活质量，特进行退休人员体检。从而能提升退休人员和谐社会稳定发展，做到早发现，早预防，实现健康中国发展目标，不断提升退休人员满意度，提升社会效益。</w:t>
            </w:r>
          </w:p>
        </w:tc>
        <w:tc>
          <w:tcPr>
            <w:tcW w:w="1944" w:type="pct"/>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退休人员按时参加体检活动，实现退休体检项目的高效实施，退休人员满意度提升。</w:t>
            </w:r>
          </w:p>
        </w:tc>
      </w:tr>
      <w:tr>
        <w:tblPrEx>
          <w:tblCellMar>
            <w:top w:w="0" w:type="dxa"/>
            <w:left w:w="108" w:type="dxa"/>
            <w:bottom w:w="0" w:type="dxa"/>
            <w:right w:w="108" w:type="dxa"/>
          </w:tblCellMar>
        </w:tblPrEx>
        <w:trPr>
          <w:trHeight w:val="517" w:hRule="exact"/>
          <w:jc w:val="center"/>
        </w:trPr>
        <w:tc>
          <w:tcPr>
            <w:tcW w:w="315" w:type="pct"/>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362"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630"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234" w:type="pct"/>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567"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630"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指标1：退休人员体检报名实际参与率</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67"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指标1：体检报告及时完成率</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67"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指标1：按计划时间执行情况</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2周内</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2周内</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67"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指标1：成本控制在预算范围之内</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9.93万元</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指标1：成本控制在预算范围之内</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994"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630" w:type="pct"/>
            <w:vMerge w:val="restart"/>
            <w:tcBorders>
              <w:top w:val="nil"/>
              <w:left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经济效益指标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指标1：满足退休人员对及时了解自身健康状况检查的需求，为其提供更加精确、快捷的诊断；</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体检需率≥90%</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90%能够满足体检人员需求，体检服务效益提升</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1451"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增加退休人员对身体健康状况的关注时效；</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体检项目符合监测预期效果</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体检项目符合预期效果，退休人员体检参与人员增加</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3534"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社会效益指标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增加退休人员对身体健康检查的质控时效；及时排查健康隐患，做到早筛、早诊、早治；让退休人员深刻感受到党和医院对人民的关心。退休人员在职在岗期间为医疗事业一生奉献、做出了很大的贡献。对退休人员的持续关心和照顾能够稳定推进和谐社会的健康发展。</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认可体检服务达标</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提升体检工作质量，提升体检人员对体检工作认可度和服务退休体检人员感受到医院的关心和关爱，为良好的退休生活保驾护航，体检满意率达标</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67"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生态效益指标</w:t>
            </w:r>
          </w:p>
        </w:tc>
        <w:tc>
          <w:tcPr>
            <w:tcW w:w="1234" w:type="pct"/>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指标1：不涉及</w:t>
            </w:r>
          </w:p>
        </w:tc>
        <w:tc>
          <w:tcPr>
            <w:tcW w:w="51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不涉及</w:t>
            </w:r>
          </w:p>
        </w:tc>
        <w:tc>
          <w:tcPr>
            <w:tcW w:w="478"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不涉及</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2470" w:hRule="atLeast"/>
          <w:jc w:val="center"/>
        </w:trPr>
        <w:tc>
          <w:tcPr>
            <w:tcW w:w="315" w:type="pct"/>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3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234"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长期开展退休人员体检工作，持续关注退休人员身体健康状况，让健康计划发展战略平稳推进，使卫生健康事业高质量发展可持续性明显提升。</w:t>
            </w:r>
          </w:p>
        </w:tc>
        <w:tc>
          <w:tcPr>
            <w:tcW w:w="51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逐年平稳开展退休人员体检工作</w:t>
            </w:r>
          </w:p>
        </w:tc>
        <w:tc>
          <w:tcPr>
            <w:tcW w:w="47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连续开展退休人员体检工作，让退休人员体检质量状况监测能够呈现可持续质量评价，更好的推进退休人员大健康高质量发展。</w:t>
            </w:r>
          </w:p>
        </w:tc>
        <w:tc>
          <w:tcPr>
            <w:tcW w:w="27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67" w:hRule="atLeast"/>
          <w:jc w:val="center"/>
        </w:trPr>
        <w:tc>
          <w:tcPr>
            <w:tcW w:w="315" w:type="pct"/>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362"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63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234" w:type="pct"/>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指标1：体检项目满意率</w:t>
            </w:r>
          </w:p>
        </w:tc>
        <w:tc>
          <w:tcPr>
            <w:tcW w:w="51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478"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体检满意达标100%</w:t>
            </w:r>
          </w:p>
        </w:tc>
        <w:tc>
          <w:tcPr>
            <w:tcW w:w="279"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96"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无</w:t>
            </w:r>
          </w:p>
        </w:tc>
      </w:tr>
      <w:tr>
        <w:tblPrEx>
          <w:tblCellMar>
            <w:top w:w="0" w:type="dxa"/>
            <w:left w:w="108" w:type="dxa"/>
            <w:bottom w:w="0" w:type="dxa"/>
            <w:right w:w="108" w:type="dxa"/>
          </w:tblCellMar>
        </w:tblPrEx>
        <w:trPr>
          <w:trHeight w:val="567" w:hRule="atLeast"/>
          <w:jc w:val="center"/>
        </w:trPr>
        <w:tc>
          <w:tcPr>
            <w:tcW w:w="3534" w:type="pct"/>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279" w:type="pct"/>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296" w:type="pct"/>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892" w:type="pct"/>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imSun-ExtG">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76"/>
    <w:rsid w:val="000C17B3"/>
    <w:rsid w:val="000E1B2C"/>
    <w:rsid w:val="00190ED0"/>
    <w:rsid w:val="001A7944"/>
    <w:rsid w:val="002429F3"/>
    <w:rsid w:val="003811A3"/>
    <w:rsid w:val="003B079F"/>
    <w:rsid w:val="003B7BDD"/>
    <w:rsid w:val="00417205"/>
    <w:rsid w:val="004D1BD3"/>
    <w:rsid w:val="004D3FA0"/>
    <w:rsid w:val="005C579A"/>
    <w:rsid w:val="005F0D26"/>
    <w:rsid w:val="006A0422"/>
    <w:rsid w:val="0075173E"/>
    <w:rsid w:val="00813497"/>
    <w:rsid w:val="00875444"/>
    <w:rsid w:val="008B1FC8"/>
    <w:rsid w:val="0094084F"/>
    <w:rsid w:val="00994576"/>
    <w:rsid w:val="00A52D45"/>
    <w:rsid w:val="00B416BA"/>
    <w:rsid w:val="00B42A7D"/>
    <w:rsid w:val="00CF7404"/>
    <w:rsid w:val="00D52885"/>
    <w:rsid w:val="00E23A0B"/>
    <w:rsid w:val="00FE324C"/>
    <w:rsid w:val="4CC31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财务科</Company>
  <Pages>18</Pages>
  <Words>2118</Words>
  <Characters>12075</Characters>
  <Lines>100</Lines>
  <Paragraphs>28</Paragraphs>
  <TotalTime>4</TotalTime>
  <ScaleCrop>false</ScaleCrop>
  <LinksUpToDate>false</LinksUpToDate>
  <CharactersWithSpaces>14165</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2025-08-25T09:59:00Z</dcterms:created>
  <dc:creator>Administrator</dc:creator>
  <cp:lastModifiedBy>刘芳</cp:lastModifiedBy>
  <dcterms:modified xsi:type="dcterms:W3CDTF">2025-08-26T07:35:20Z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49766D1C7CFA4F97BB14F2B6E24C2554</vt:lpwstr>
  </property>
</Properties>
</file>